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1D" w:rsidRDefault="0012111D" w:rsidP="0012111D">
      <w:pPr>
        <w:jc w:val="center"/>
        <w:rPr>
          <w:b/>
          <w:sz w:val="28"/>
          <w:szCs w:val="28"/>
          <w:lang w:val="en-US"/>
        </w:rPr>
      </w:pPr>
      <w:r>
        <w:rPr>
          <w:b/>
          <w:sz w:val="28"/>
          <w:szCs w:val="28"/>
          <w:lang w:val="en-US"/>
        </w:rPr>
        <w:t>The name of the academic discipline:</w:t>
      </w:r>
    </w:p>
    <w:p w:rsidR="0012111D" w:rsidRDefault="0012111D" w:rsidP="00374CBF">
      <w:pPr>
        <w:widowControl w:val="0"/>
        <w:ind w:right="-284"/>
        <w:jc w:val="center"/>
        <w:rPr>
          <w:b/>
          <w:sz w:val="28"/>
          <w:szCs w:val="28"/>
          <w:lang w:val="en-US"/>
        </w:rPr>
      </w:pPr>
      <w:r>
        <w:rPr>
          <w:b/>
          <w:sz w:val="28"/>
          <w:szCs w:val="28"/>
          <w:lang w:val="en-US"/>
        </w:rPr>
        <w:t>“</w:t>
      </w:r>
      <w:bookmarkStart w:id="0" w:name="_GoBack"/>
      <w:r w:rsidRPr="0012111D">
        <w:rPr>
          <w:b/>
          <w:sz w:val="28"/>
          <w:szCs w:val="28"/>
          <w:lang w:val="en-US"/>
        </w:rPr>
        <w:t xml:space="preserve">Lawmaking by representative, executive and judicial </w:t>
      </w:r>
      <w:r>
        <w:rPr>
          <w:b/>
          <w:sz w:val="28"/>
          <w:szCs w:val="28"/>
          <w:lang w:val="en-US"/>
        </w:rPr>
        <w:t>power</w:t>
      </w:r>
      <w:bookmarkEnd w:id="0"/>
      <w:r>
        <w:rPr>
          <w:b/>
          <w:sz w:val="28"/>
          <w:szCs w:val="28"/>
          <w:lang w:val="en-US"/>
        </w:rPr>
        <w:t>”</w:t>
      </w:r>
    </w:p>
    <w:p w:rsidR="0012111D" w:rsidRDefault="0012111D" w:rsidP="0012111D">
      <w:pPr>
        <w:jc w:val="center"/>
        <w:rPr>
          <w:b/>
          <w:color w:val="000000"/>
          <w:sz w:val="28"/>
          <w:szCs w:val="28"/>
          <w:lang w:val="en-US"/>
        </w:rPr>
      </w:pPr>
    </w:p>
    <w:tbl>
      <w:tblPr>
        <w:tblW w:w="95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12111D" w:rsidRPr="0012111D" w:rsidTr="0012111D">
        <w:tc>
          <w:tcPr>
            <w:tcW w:w="3358" w:type="dxa"/>
            <w:tcBorders>
              <w:top w:val="single" w:sz="4" w:space="0" w:color="auto"/>
              <w:left w:val="single" w:sz="4" w:space="0" w:color="auto"/>
              <w:bottom w:val="single" w:sz="4" w:space="0" w:color="auto"/>
              <w:right w:val="single" w:sz="4" w:space="0" w:color="auto"/>
            </w:tcBorders>
            <w:hideMark/>
          </w:tcPr>
          <w:p w:rsidR="0012111D" w:rsidRPr="0012111D" w:rsidRDefault="0012111D">
            <w:pPr>
              <w:widowControl w:val="0"/>
              <w:suppressAutoHyphens/>
              <w:autoSpaceDE w:val="0"/>
              <w:autoSpaceDN w:val="0"/>
              <w:adjustRightInd w:val="0"/>
              <w:jc w:val="both"/>
              <w:rPr>
                <w:b/>
                <w:color w:val="000000"/>
                <w:sz w:val="28"/>
                <w:szCs w:val="28"/>
                <w:lang w:val="en-US" w:eastAsia="en-US"/>
              </w:rPr>
            </w:pPr>
            <w:r w:rsidRPr="0012111D">
              <w:rPr>
                <w:rStyle w:val="a6"/>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12111D" w:rsidRPr="0012111D" w:rsidRDefault="0012111D">
            <w:pPr>
              <w:autoSpaceDE w:val="0"/>
              <w:autoSpaceDN w:val="0"/>
              <w:adjustRightInd w:val="0"/>
              <w:rPr>
                <w:color w:val="000000"/>
                <w:sz w:val="28"/>
                <w:szCs w:val="28"/>
                <w:lang w:val="en-US" w:eastAsia="en-US"/>
              </w:rPr>
            </w:pPr>
            <w:r w:rsidRPr="0012111D">
              <w:rPr>
                <w:color w:val="000000"/>
                <w:sz w:val="28"/>
                <w:szCs w:val="28"/>
              </w:rPr>
              <w:t xml:space="preserve">7-06-0421-01 </w:t>
            </w:r>
            <w:r w:rsidRPr="0012111D">
              <w:rPr>
                <w:color w:val="000000"/>
                <w:sz w:val="28"/>
                <w:szCs w:val="28"/>
                <w:lang w:val="en-US"/>
              </w:rPr>
              <w:t xml:space="preserve">Jurisprudence </w:t>
            </w:r>
          </w:p>
        </w:tc>
      </w:tr>
      <w:tr w:rsidR="0012111D" w:rsidTr="0012111D">
        <w:tc>
          <w:tcPr>
            <w:tcW w:w="3358" w:type="dxa"/>
            <w:tcBorders>
              <w:top w:val="single" w:sz="4" w:space="0" w:color="auto"/>
              <w:left w:val="single" w:sz="4" w:space="0" w:color="auto"/>
              <w:bottom w:val="single" w:sz="4" w:space="0" w:color="auto"/>
              <w:right w:val="single" w:sz="4" w:space="0" w:color="auto"/>
            </w:tcBorders>
            <w:hideMark/>
          </w:tcPr>
          <w:p w:rsidR="0012111D" w:rsidRDefault="0012111D">
            <w:pPr>
              <w:widowControl w:val="0"/>
              <w:suppressAutoHyphens/>
              <w:autoSpaceDE w:val="0"/>
              <w:autoSpaceDN w:val="0"/>
              <w:adjustRightInd w:val="0"/>
              <w:jc w:val="both"/>
              <w:rPr>
                <w:b/>
                <w:color w:val="000000"/>
                <w:sz w:val="28"/>
                <w:szCs w:val="28"/>
                <w:lang w:val="en-US" w:eastAsia="en-US"/>
              </w:rPr>
            </w:pPr>
            <w:r>
              <w:rPr>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rPr>
                <w:rFonts w:eastAsia="Calibri"/>
                <w:sz w:val="28"/>
                <w:szCs w:val="28"/>
                <w:lang w:eastAsia="en-US"/>
              </w:rPr>
            </w:pPr>
            <w:r>
              <w:rPr>
                <w:sz w:val="28"/>
                <w:szCs w:val="28"/>
              </w:rPr>
              <w:t>1</w:t>
            </w:r>
          </w:p>
        </w:tc>
      </w:tr>
      <w:tr w:rsidR="0012111D" w:rsidTr="0012111D">
        <w:tc>
          <w:tcPr>
            <w:tcW w:w="3358" w:type="dxa"/>
            <w:tcBorders>
              <w:top w:val="single" w:sz="4" w:space="0" w:color="auto"/>
              <w:left w:val="single" w:sz="4" w:space="0" w:color="auto"/>
              <w:bottom w:val="single" w:sz="4" w:space="0" w:color="auto"/>
              <w:right w:val="single" w:sz="4" w:space="0" w:color="auto"/>
            </w:tcBorders>
            <w:hideMark/>
          </w:tcPr>
          <w:p w:rsidR="0012111D" w:rsidRDefault="0012111D">
            <w:pPr>
              <w:widowControl w:val="0"/>
              <w:suppressAutoHyphens/>
              <w:autoSpaceDE w:val="0"/>
              <w:autoSpaceDN w:val="0"/>
              <w:adjustRightInd w:val="0"/>
              <w:jc w:val="both"/>
              <w:rPr>
                <w:b/>
                <w:color w:val="000000"/>
                <w:sz w:val="28"/>
                <w:szCs w:val="28"/>
                <w:lang w:val="en-US" w:eastAsia="en-US"/>
              </w:rPr>
            </w:pPr>
            <w:r>
              <w:rPr>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rPr>
                <w:rFonts w:eastAsia="Calibri"/>
                <w:sz w:val="28"/>
                <w:szCs w:val="28"/>
                <w:lang w:eastAsia="en-US"/>
              </w:rPr>
            </w:pPr>
            <w:r>
              <w:rPr>
                <w:sz w:val="28"/>
                <w:szCs w:val="28"/>
              </w:rPr>
              <w:t>1</w:t>
            </w:r>
          </w:p>
        </w:tc>
      </w:tr>
      <w:tr w:rsidR="0012111D" w:rsidTr="0012111D">
        <w:tc>
          <w:tcPr>
            <w:tcW w:w="3358" w:type="dxa"/>
            <w:tcBorders>
              <w:top w:val="single" w:sz="4" w:space="0" w:color="auto"/>
              <w:left w:val="single" w:sz="4" w:space="0" w:color="auto"/>
              <w:bottom w:val="single" w:sz="4" w:space="0" w:color="auto"/>
              <w:right w:val="single" w:sz="4" w:space="0" w:color="auto"/>
            </w:tcBorders>
            <w:hideMark/>
          </w:tcPr>
          <w:p w:rsidR="0012111D" w:rsidRDefault="0012111D">
            <w:pPr>
              <w:widowControl w:val="0"/>
              <w:suppressAutoHyphens/>
              <w:autoSpaceDE w:val="0"/>
              <w:autoSpaceDN w:val="0"/>
              <w:adjustRightInd w:val="0"/>
              <w:jc w:val="both"/>
              <w:rPr>
                <w:b/>
                <w:color w:val="000000"/>
                <w:sz w:val="28"/>
                <w:szCs w:val="28"/>
                <w:lang w:val="en-US" w:eastAsia="en-US"/>
              </w:rPr>
            </w:pPr>
            <w:r>
              <w:rPr>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rPr>
                <w:rFonts w:eastAsia="Calibri"/>
                <w:sz w:val="28"/>
                <w:szCs w:val="28"/>
                <w:lang w:eastAsia="en-US"/>
              </w:rPr>
            </w:pPr>
            <w:r>
              <w:rPr>
                <w:sz w:val="28"/>
                <w:szCs w:val="28"/>
              </w:rPr>
              <w:t>32</w:t>
            </w:r>
          </w:p>
        </w:tc>
      </w:tr>
      <w:tr w:rsidR="0012111D" w:rsidTr="0012111D">
        <w:tc>
          <w:tcPr>
            <w:tcW w:w="3358" w:type="dxa"/>
            <w:vMerge w:val="restart"/>
            <w:tcBorders>
              <w:top w:val="single" w:sz="4" w:space="0" w:color="auto"/>
              <w:left w:val="single" w:sz="4" w:space="0" w:color="auto"/>
              <w:bottom w:val="single" w:sz="4" w:space="0" w:color="auto"/>
              <w:right w:val="single" w:sz="4" w:space="0" w:color="auto"/>
            </w:tcBorders>
            <w:hideMark/>
          </w:tcPr>
          <w:p w:rsidR="0012111D" w:rsidRDefault="0012111D">
            <w:pPr>
              <w:autoSpaceDE w:val="0"/>
              <w:autoSpaceDN w:val="0"/>
              <w:adjustRightInd w:val="0"/>
              <w:rPr>
                <w:b/>
                <w:color w:val="000000"/>
                <w:sz w:val="28"/>
                <w:szCs w:val="28"/>
                <w:lang w:val="en-US" w:eastAsia="en-US"/>
              </w:rPr>
            </w:pPr>
            <w:r>
              <w:rPr>
                <w:b/>
                <w:color w:val="000000"/>
                <w:sz w:val="28"/>
                <w:szCs w:val="28"/>
                <w:lang w:val="en-US"/>
              </w:rPr>
              <w:t>Lectures</w:t>
            </w:r>
          </w:p>
          <w:p w:rsidR="0012111D" w:rsidRDefault="0012111D">
            <w:pPr>
              <w:autoSpaceDE w:val="0"/>
              <w:autoSpaceDN w:val="0"/>
              <w:adjustRightInd w:val="0"/>
              <w:rPr>
                <w:rFonts w:eastAsia="Calibri" w:cstheme="minorBidi"/>
                <w:b/>
                <w:color w:val="000000"/>
                <w:sz w:val="28"/>
                <w:szCs w:val="28"/>
                <w:lang w:val="en-US"/>
              </w:rPr>
            </w:pPr>
            <w:r>
              <w:rPr>
                <w:b/>
                <w:color w:val="000000"/>
                <w:sz w:val="28"/>
                <w:szCs w:val="28"/>
                <w:lang w:val="en-US"/>
              </w:rPr>
              <w:t xml:space="preserve">Seminar classes </w:t>
            </w:r>
          </w:p>
          <w:p w:rsidR="0012111D" w:rsidRDefault="0012111D">
            <w:pPr>
              <w:autoSpaceDE w:val="0"/>
              <w:autoSpaceDN w:val="0"/>
              <w:adjustRightInd w:val="0"/>
              <w:rPr>
                <w:rFonts w:eastAsiaTheme="minorHAnsi"/>
                <w:b/>
                <w:color w:val="000000"/>
                <w:sz w:val="28"/>
                <w:szCs w:val="28"/>
                <w:lang w:val="en-US"/>
              </w:rPr>
            </w:pPr>
            <w:r>
              <w:rPr>
                <w:b/>
                <w:color w:val="000000"/>
                <w:sz w:val="28"/>
                <w:szCs w:val="28"/>
                <w:lang w:val="en-US"/>
              </w:rPr>
              <w:t>Practical classes</w:t>
            </w:r>
          </w:p>
          <w:p w:rsidR="0012111D" w:rsidRDefault="0012111D">
            <w:pPr>
              <w:widowControl w:val="0"/>
              <w:suppressAutoHyphens/>
              <w:autoSpaceDE w:val="0"/>
              <w:autoSpaceDN w:val="0"/>
              <w:adjustRightInd w:val="0"/>
              <w:jc w:val="both"/>
              <w:rPr>
                <w:b/>
                <w:color w:val="000000"/>
                <w:sz w:val="28"/>
                <w:szCs w:val="28"/>
                <w:lang w:val="en-US" w:eastAsia="en-US"/>
              </w:rPr>
            </w:pPr>
            <w:r>
              <w:rPr>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rPr>
                <w:rFonts w:eastAsia="Calibri"/>
                <w:sz w:val="28"/>
                <w:szCs w:val="28"/>
                <w:lang w:eastAsia="en-US"/>
              </w:rPr>
            </w:pPr>
            <w:r>
              <w:rPr>
                <w:sz w:val="28"/>
                <w:szCs w:val="28"/>
              </w:rPr>
              <w:t>20</w:t>
            </w:r>
          </w:p>
        </w:tc>
      </w:tr>
      <w:tr w:rsidR="0012111D" w:rsidTr="0012111D">
        <w:tc>
          <w:tcPr>
            <w:tcW w:w="0" w:type="auto"/>
            <w:vMerge/>
            <w:tcBorders>
              <w:top w:val="single" w:sz="4" w:space="0" w:color="auto"/>
              <w:left w:val="single" w:sz="4" w:space="0" w:color="auto"/>
              <w:bottom w:val="single" w:sz="4" w:space="0" w:color="auto"/>
              <w:right w:val="single" w:sz="4" w:space="0" w:color="auto"/>
            </w:tcBorders>
            <w:vAlign w:val="center"/>
            <w:hideMark/>
          </w:tcPr>
          <w:p w:rsidR="0012111D" w:rsidRDefault="0012111D">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rPr>
                <w:rFonts w:eastAsia="Calibri"/>
                <w:sz w:val="28"/>
                <w:szCs w:val="28"/>
                <w:lang w:eastAsia="en-US"/>
              </w:rPr>
            </w:pPr>
            <w:r>
              <w:rPr>
                <w:sz w:val="28"/>
                <w:szCs w:val="28"/>
              </w:rPr>
              <w:t>12</w:t>
            </w:r>
          </w:p>
        </w:tc>
      </w:tr>
      <w:tr w:rsidR="0012111D" w:rsidTr="0012111D">
        <w:tc>
          <w:tcPr>
            <w:tcW w:w="0" w:type="auto"/>
            <w:vMerge/>
            <w:tcBorders>
              <w:top w:val="single" w:sz="4" w:space="0" w:color="auto"/>
              <w:left w:val="single" w:sz="4" w:space="0" w:color="auto"/>
              <w:bottom w:val="single" w:sz="4" w:space="0" w:color="auto"/>
              <w:right w:val="single" w:sz="4" w:space="0" w:color="auto"/>
            </w:tcBorders>
            <w:vAlign w:val="center"/>
            <w:hideMark/>
          </w:tcPr>
          <w:p w:rsidR="0012111D" w:rsidRDefault="0012111D">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rPr>
                <w:rFonts w:eastAsia="Calibri"/>
                <w:sz w:val="28"/>
                <w:szCs w:val="28"/>
                <w:lang w:eastAsia="en-US"/>
              </w:rPr>
            </w:pPr>
            <w:r>
              <w:rPr>
                <w:sz w:val="28"/>
                <w:szCs w:val="28"/>
              </w:rPr>
              <w:t>-</w:t>
            </w:r>
          </w:p>
        </w:tc>
      </w:tr>
      <w:tr w:rsidR="0012111D" w:rsidTr="0012111D">
        <w:tc>
          <w:tcPr>
            <w:tcW w:w="0" w:type="auto"/>
            <w:vMerge/>
            <w:tcBorders>
              <w:top w:val="single" w:sz="4" w:space="0" w:color="auto"/>
              <w:left w:val="single" w:sz="4" w:space="0" w:color="auto"/>
              <w:bottom w:val="single" w:sz="4" w:space="0" w:color="auto"/>
              <w:right w:val="single" w:sz="4" w:space="0" w:color="auto"/>
            </w:tcBorders>
            <w:vAlign w:val="center"/>
            <w:hideMark/>
          </w:tcPr>
          <w:p w:rsidR="0012111D" w:rsidRDefault="0012111D">
            <w:pPr>
              <w:rPr>
                <w:b/>
                <w:color w:val="000000"/>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rPr>
                <w:rFonts w:eastAsia="Calibri"/>
                <w:sz w:val="28"/>
                <w:szCs w:val="28"/>
                <w:lang w:eastAsia="en-US"/>
              </w:rPr>
            </w:pPr>
            <w:r>
              <w:rPr>
                <w:sz w:val="28"/>
                <w:szCs w:val="28"/>
              </w:rPr>
              <w:t>-</w:t>
            </w:r>
          </w:p>
        </w:tc>
      </w:tr>
      <w:tr w:rsidR="0012111D" w:rsidTr="0012111D">
        <w:tc>
          <w:tcPr>
            <w:tcW w:w="3358" w:type="dxa"/>
            <w:tcBorders>
              <w:top w:val="single" w:sz="4" w:space="0" w:color="auto"/>
              <w:left w:val="single" w:sz="4" w:space="0" w:color="auto"/>
              <w:bottom w:val="single" w:sz="4" w:space="0" w:color="auto"/>
              <w:right w:val="single" w:sz="4" w:space="0" w:color="auto"/>
            </w:tcBorders>
            <w:hideMark/>
          </w:tcPr>
          <w:p w:rsidR="0012111D" w:rsidRDefault="0012111D">
            <w:pPr>
              <w:widowControl w:val="0"/>
              <w:suppressAutoHyphens/>
              <w:autoSpaceDE w:val="0"/>
              <w:autoSpaceDN w:val="0"/>
              <w:adjustRightInd w:val="0"/>
              <w:jc w:val="both"/>
              <w:rPr>
                <w:b/>
                <w:color w:val="000000"/>
                <w:sz w:val="28"/>
                <w:szCs w:val="28"/>
                <w:lang w:val="en-US" w:eastAsia="en-US"/>
              </w:rPr>
            </w:pPr>
            <w:r>
              <w:rPr>
                <w:b/>
                <w:color w:val="000000"/>
                <w:sz w:val="28"/>
                <w:szCs w:val="28"/>
                <w:lang w:val="en-US"/>
              </w:rPr>
              <w:t>Form of the current assessment (</w:t>
            </w:r>
            <w:r>
              <w:rPr>
                <w:b/>
                <w:i/>
                <w:color w:val="000000"/>
                <w:sz w:val="28"/>
                <w:szCs w:val="28"/>
                <w:lang w:val="en-US"/>
              </w:rPr>
              <w:t>credit/ graded credit /exam</w:t>
            </w:r>
            <w:r>
              <w:rPr>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12111D" w:rsidRDefault="0012111D">
            <w:pPr>
              <w:autoSpaceDE w:val="0"/>
              <w:autoSpaceDN w:val="0"/>
              <w:adjustRightInd w:val="0"/>
              <w:rPr>
                <w:color w:val="000000"/>
                <w:sz w:val="28"/>
                <w:szCs w:val="28"/>
                <w:lang w:val="en-US" w:eastAsia="en-US"/>
              </w:rPr>
            </w:pPr>
            <w:r>
              <w:rPr>
                <w:color w:val="000000"/>
                <w:sz w:val="28"/>
                <w:szCs w:val="28"/>
                <w:lang w:val="en-US"/>
              </w:rPr>
              <w:t>credit</w:t>
            </w:r>
          </w:p>
        </w:tc>
      </w:tr>
      <w:tr w:rsidR="0012111D" w:rsidTr="0012111D">
        <w:tc>
          <w:tcPr>
            <w:tcW w:w="3358" w:type="dxa"/>
            <w:tcBorders>
              <w:top w:val="single" w:sz="4" w:space="0" w:color="auto"/>
              <w:left w:val="single" w:sz="4" w:space="0" w:color="auto"/>
              <w:bottom w:val="single" w:sz="4" w:space="0" w:color="auto"/>
              <w:right w:val="single" w:sz="4" w:space="0" w:color="auto"/>
            </w:tcBorders>
            <w:hideMark/>
          </w:tcPr>
          <w:p w:rsidR="0012111D" w:rsidRDefault="0012111D">
            <w:pPr>
              <w:widowControl w:val="0"/>
              <w:suppressAutoHyphens/>
              <w:autoSpaceDE w:val="0"/>
              <w:autoSpaceDN w:val="0"/>
              <w:adjustRightInd w:val="0"/>
              <w:jc w:val="both"/>
              <w:rPr>
                <w:b/>
                <w:color w:val="000000"/>
                <w:sz w:val="28"/>
                <w:szCs w:val="28"/>
                <w:lang w:val="en-US" w:eastAsia="en-US"/>
              </w:rPr>
            </w:pPr>
            <w:r>
              <w:rPr>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12111D" w:rsidRDefault="0012111D">
            <w:pPr>
              <w:autoSpaceDE w:val="0"/>
              <w:autoSpaceDN w:val="0"/>
              <w:adjustRightInd w:val="0"/>
              <w:rPr>
                <w:color w:val="000000"/>
                <w:sz w:val="28"/>
                <w:szCs w:val="28"/>
                <w:lang w:eastAsia="en-US"/>
              </w:rPr>
            </w:pPr>
            <w:r>
              <w:rPr>
                <w:color w:val="000000"/>
                <w:sz w:val="28"/>
                <w:szCs w:val="28"/>
              </w:rPr>
              <w:t>3</w:t>
            </w:r>
          </w:p>
        </w:tc>
      </w:tr>
      <w:tr w:rsidR="0012111D" w:rsidRPr="00374CBF" w:rsidTr="0012111D">
        <w:tc>
          <w:tcPr>
            <w:tcW w:w="3358" w:type="dxa"/>
            <w:tcBorders>
              <w:top w:val="single" w:sz="4" w:space="0" w:color="auto"/>
              <w:left w:val="single" w:sz="4" w:space="0" w:color="auto"/>
              <w:bottom w:val="single" w:sz="4" w:space="0" w:color="auto"/>
              <w:right w:val="single" w:sz="4" w:space="0" w:color="auto"/>
            </w:tcBorders>
            <w:hideMark/>
          </w:tcPr>
          <w:p w:rsidR="0012111D" w:rsidRPr="0012111D" w:rsidRDefault="0012111D">
            <w:pPr>
              <w:widowControl w:val="0"/>
              <w:suppressAutoHyphens/>
              <w:autoSpaceDE w:val="0"/>
              <w:autoSpaceDN w:val="0"/>
              <w:adjustRightInd w:val="0"/>
              <w:jc w:val="both"/>
              <w:rPr>
                <w:b/>
                <w:color w:val="000000"/>
                <w:sz w:val="28"/>
                <w:szCs w:val="28"/>
                <w:lang w:val="en-US" w:eastAsia="en-US"/>
              </w:rPr>
            </w:pPr>
            <w:r w:rsidRPr="0012111D">
              <w:rPr>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12111D" w:rsidRPr="0012111D" w:rsidRDefault="0012111D" w:rsidP="0012111D">
            <w:pPr>
              <w:jc w:val="both"/>
              <w:rPr>
                <w:sz w:val="28"/>
                <w:szCs w:val="28"/>
                <w:lang w:val="en-US"/>
              </w:rPr>
            </w:pPr>
            <w:r w:rsidRPr="0012111D">
              <w:rPr>
                <w:sz w:val="28"/>
                <w:szCs w:val="28"/>
                <w:lang w:val="en-US"/>
              </w:rPr>
              <w:t xml:space="preserve">UC-4 Ensure communication, demonstrate leadership skills, be capable of team building and development of strategic goals and objectives. </w:t>
            </w:r>
          </w:p>
          <w:p w:rsidR="0012111D" w:rsidRPr="0012111D" w:rsidRDefault="0012111D" w:rsidP="0012111D">
            <w:pPr>
              <w:jc w:val="both"/>
              <w:rPr>
                <w:sz w:val="28"/>
                <w:szCs w:val="28"/>
                <w:lang w:val="en-US"/>
              </w:rPr>
            </w:pPr>
            <w:r w:rsidRPr="0012111D">
              <w:rPr>
                <w:sz w:val="28"/>
                <w:szCs w:val="28"/>
                <w:lang w:val="en-US"/>
              </w:rPr>
              <w:t xml:space="preserve">UC-5 Develop innovative receptivity and ability to innovative activity. </w:t>
            </w:r>
          </w:p>
          <w:p w:rsidR="0012111D" w:rsidRPr="0012111D" w:rsidRDefault="0012111D" w:rsidP="0012111D">
            <w:pPr>
              <w:jc w:val="both"/>
              <w:rPr>
                <w:sz w:val="28"/>
                <w:szCs w:val="28"/>
                <w:lang w:val="en-US"/>
              </w:rPr>
            </w:pPr>
            <w:r w:rsidRPr="0012111D">
              <w:rPr>
                <w:sz w:val="28"/>
                <w:szCs w:val="28"/>
                <w:lang w:val="en-US"/>
              </w:rPr>
              <w:t xml:space="preserve">UC-6 Be capable of predicting the conditions for the implementation of professional activity and solving professional problems in conditions of uncertainty. </w:t>
            </w:r>
          </w:p>
          <w:p w:rsidR="0012111D" w:rsidRPr="0012111D" w:rsidRDefault="0012111D" w:rsidP="0012111D">
            <w:pPr>
              <w:jc w:val="both"/>
              <w:rPr>
                <w:sz w:val="28"/>
                <w:szCs w:val="28"/>
                <w:lang w:val="en-US"/>
              </w:rPr>
            </w:pPr>
            <w:r w:rsidRPr="0012111D">
              <w:rPr>
                <w:sz w:val="28"/>
                <w:szCs w:val="28"/>
                <w:lang w:val="en-US"/>
              </w:rPr>
              <w:t>UPC-2 Apply knowledge of the modern theory and practice of lawmaking of representative, executive and judicial authorities when participating in the development and conduct of examinations of draft regulatory legal acts, analyze and evaluate the effectiveness of regulatory legal acts in the course of research, lawmaking, law enforcement, educational and managerial activities.</w:t>
            </w:r>
          </w:p>
        </w:tc>
      </w:tr>
      <w:tr w:rsidR="0012111D" w:rsidRPr="00374CBF" w:rsidTr="0012111D">
        <w:tc>
          <w:tcPr>
            <w:tcW w:w="9571" w:type="dxa"/>
            <w:gridSpan w:val="2"/>
            <w:tcBorders>
              <w:top w:val="single" w:sz="4" w:space="0" w:color="auto"/>
              <w:left w:val="single" w:sz="4" w:space="0" w:color="auto"/>
              <w:bottom w:val="single" w:sz="4" w:space="0" w:color="auto"/>
              <w:right w:val="single" w:sz="4" w:space="0" w:color="auto"/>
            </w:tcBorders>
            <w:hideMark/>
          </w:tcPr>
          <w:p w:rsidR="0012111D" w:rsidRPr="0012111D" w:rsidRDefault="0012111D">
            <w:pPr>
              <w:autoSpaceDE w:val="0"/>
              <w:autoSpaceDN w:val="0"/>
              <w:adjustRightInd w:val="0"/>
              <w:jc w:val="center"/>
              <w:rPr>
                <w:b/>
                <w:color w:val="000000"/>
                <w:sz w:val="28"/>
                <w:szCs w:val="28"/>
                <w:lang w:val="en-US" w:eastAsia="en-US"/>
              </w:rPr>
            </w:pPr>
            <w:r w:rsidRPr="0012111D">
              <w:rPr>
                <w:b/>
                <w:color w:val="000000"/>
                <w:sz w:val="28"/>
                <w:szCs w:val="28"/>
                <w:lang w:val="en-US"/>
              </w:rPr>
              <w:t>Summary of the academic discipline:</w:t>
            </w:r>
          </w:p>
          <w:p w:rsidR="0012111D" w:rsidRPr="0012111D" w:rsidRDefault="0012111D" w:rsidP="0012111D">
            <w:pPr>
              <w:autoSpaceDE w:val="0"/>
              <w:autoSpaceDN w:val="0"/>
              <w:adjustRightInd w:val="0"/>
              <w:ind w:firstLine="709"/>
              <w:jc w:val="both"/>
              <w:rPr>
                <w:color w:val="3C4043"/>
                <w:sz w:val="28"/>
                <w:szCs w:val="28"/>
                <w:lang w:val="en-US" w:eastAsia="en-US"/>
              </w:rPr>
            </w:pPr>
            <w:r w:rsidRPr="00374CBF">
              <w:rPr>
                <w:bCs/>
                <w:sz w:val="28"/>
                <w:szCs w:val="28"/>
                <w:lang w:val="en-US"/>
              </w:rPr>
              <w:t>The purpose of the discipline is to expand and deepen the knowledge of master's students on issues of law-making activity, previously obtained in the process of studying the theory of state and law, constitutional law and other legal disciplines, bringing them into a single system that contributes to a more comprehensive and high-quality professional training of a lawyer. The content of the discipline comprehensively and comprehensively examines law-making, its fundamental principles, the list of subjects participating in the law-making process, their competencies and the mechanism for implementing powers, forms and methods of interaction with each other, the features of various stages of the law-making process.</w:t>
            </w:r>
          </w:p>
        </w:tc>
      </w:tr>
    </w:tbl>
    <w:p w:rsidR="0012111D" w:rsidRDefault="0012111D" w:rsidP="0012111D">
      <w:pPr>
        <w:rPr>
          <w:rFonts w:ascii="Calibri" w:eastAsia="Calibri" w:hAnsi="Calibri" w:cstheme="minorBidi"/>
          <w:sz w:val="24"/>
          <w:szCs w:val="24"/>
          <w:lang w:val="en-US" w:eastAsia="en-US"/>
        </w:rPr>
      </w:pPr>
    </w:p>
    <w:p w:rsidR="0012111D" w:rsidRPr="0012111D" w:rsidRDefault="0012111D">
      <w:pPr>
        <w:rPr>
          <w:sz w:val="26"/>
          <w:szCs w:val="26"/>
          <w:lang w:val="en-US"/>
        </w:rPr>
      </w:pPr>
    </w:p>
    <w:sectPr w:rsidR="0012111D" w:rsidRPr="0012111D" w:rsidSect="0012111D">
      <w:pgSz w:w="11906" w:h="16838"/>
      <w:pgMar w:top="567" w:right="1133"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45B73"/>
    <w:rsid w:val="0012111D"/>
    <w:rsid w:val="00374CBF"/>
    <w:rsid w:val="004458DF"/>
    <w:rsid w:val="004C06F3"/>
    <w:rsid w:val="004F141A"/>
    <w:rsid w:val="00586654"/>
    <w:rsid w:val="00611D14"/>
    <w:rsid w:val="006E43C0"/>
    <w:rsid w:val="00716B80"/>
    <w:rsid w:val="00797A12"/>
    <w:rsid w:val="008D134C"/>
    <w:rsid w:val="00910D69"/>
    <w:rsid w:val="00954B21"/>
    <w:rsid w:val="00A04949"/>
    <w:rsid w:val="00B06979"/>
    <w:rsid w:val="00B8407B"/>
    <w:rsid w:val="00C036B6"/>
    <w:rsid w:val="00E31243"/>
    <w:rsid w:val="00E83049"/>
    <w:rsid w:val="00EB1BD2"/>
    <w:rsid w:val="00EF270C"/>
    <w:rsid w:val="00FA79B0"/>
    <w:rsid w:val="00FD7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12111D"/>
    <w:rPr>
      <w:b/>
      <w:bCs/>
    </w:rPr>
  </w:style>
  <w:style w:type="character" w:customStyle="1" w:styleId="rynqvb">
    <w:name w:val="rynqvb"/>
    <w:basedOn w:val="a0"/>
    <w:rsid w:val="00121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customStyle="1" w:styleId="Default">
    <w:name w:val="Default"/>
    <w:uiPriority w:val="99"/>
    <w:rsid w:val="00954B21"/>
    <w:pPr>
      <w:autoSpaceDE w:val="0"/>
      <w:autoSpaceDN w:val="0"/>
      <w:adjustRightInd w:val="0"/>
      <w:spacing w:after="0" w:line="240" w:lineRule="auto"/>
    </w:pPr>
    <w:rPr>
      <w:rFonts w:ascii="Calibri" w:eastAsia="Calibri" w:hAnsi="Calibri" w:cs="Times New Roman"/>
      <w:color w:val="000000"/>
      <w:sz w:val="24"/>
      <w:szCs w:val="24"/>
    </w:rPr>
  </w:style>
  <w:style w:type="character" w:styleId="a6">
    <w:name w:val="Strong"/>
    <w:basedOn w:val="a0"/>
    <w:uiPriority w:val="22"/>
    <w:qFormat/>
    <w:rsid w:val="0012111D"/>
    <w:rPr>
      <w:b/>
      <w:bCs/>
    </w:rPr>
  </w:style>
  <w:style w:type="character" w:customStyle="1" w:styleId="rynqvb">
    <w:name w:val="rynqvb"/>
    <w:basedOn w:val="a0"/>
    <w:rsid w:val="0012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6250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2025-07-24T12:29:00Z</dcterms:created>
  <dcterms:modified xsi:type="dcterms:W3CDTF">2025-07-24T12:29:00Z</dcterms:modified>
</cp:coreProperties>
</file>