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F5" w:rsidRDefault="002A05F5" w:rsidP="002A05F5">
      <w:pPr>
        <w:jc w:val="center"/>
        <w:rPr>
          <w:b/>
          <w:sz w:val="28"/>
          <w:szCs w:val="28"/>
          <w:lang w:val="en-US"/>
        </w:rPr>
      </w:pPr>
      <w:r>
        <w:rPr>
          <w:b/>
          <w:sz w:val="28"/>
          <w:szCs w:val="28"/>
          <w:lang w:val="en-US"/>
        </w:rPr>
        <w:t>The name of the academic discipline:</w:t>
      </w:r>
    </w:p>
    <w:p w:rsidR="002A05F5" w:rsidRDefault="002A05F5" w:rsidP="002A05F5">
      <w:pPr>
        <w:jc w:val="center"/>
        <w:rPr>
          <w:b/>
          <w:sz w:val="28"/>
          <w:szCs w:val="28"/>
          <w:lang w:val="en-US"/>
        </w:rPr>
      </w:pPr>
      <w:r>
        <w:rPr>
          <w:b/>
          <w:sz w:val="28"/>
          <w:szCs w:val="28"/>
          <w:lang w:val="en-US"/>
        </w:rPr>
        <w:t>“</w:t>
      </w:r>
      <w:bookmarkStart w:id="0" w:name="_GoBack"/>
      <w:r w:rsidRPr="002A05F5">
        <w:rPr>
          <w:b/>
          <w:sz w:val="28"/>
          <w:szCs w:val="28"/>
          <w:lang w:val="en-US" w:eastAsia="en-US"/>
        </w:rPr>
        <w:t>Modern Technologies of Teaching Psychology in the System of Higher and Further Education</w:t>
      </w:r>
      <w:bookmarkEnd w:id="0"/>
      <w:r>
        <w:rPr>
          <w:b/>
          <w:sz w:val="28"/>
          <w:szCs w:val="28"/>
          <w:lang w:val="en-US"/>
        </w:rPr>
        <w:t>”</w:t>
      </w:r>
    </w:p>
    <w:p w:rsidR="002A05F5" w:rsidRDefault="002A05F5" w:rsidP="002A05F5">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2A05F5" w:rsidRPr="002A05F5" w:rsidTr="002A05F5">
        <w:tc>
          <w:tcPr>
            <w:tcW w:w="3227" w:type="dxa"/>
            <w:tcBorders>
              <w:top w:val="single" w:sz="4" w:space="0" w:color="auto"/>
              <w:left w:val="single" w:sz="4" w:space="0" w:color="auto"/>
              <w:bottom w:val="single" w:sz="4" w:space="0" w:color="auto"/>
              <w:right w:val="single" w:sz="4" w:space="0" w:color="auto"/>
            </w:tcBorders>
            <w:hideMark/>
          </w:tcPr>
          <w:p w:rsidR="002A05F5" w:rsidRPr="002A05F5" w:rsidRDefault="002A05F5" w:rsidP="002A05F5">
            <w:pPr>
              <w:rPr>
                <w:b/>
                <w:iCs/>
                <w:color w:val="000000"/>
                <w:w w:val="107"/>
                <w:sz w:val="28"/>
                <w:szCs w:val="28"/>
                <w:lang w:val="en-US" w:eastAsia="en-US"/>
              </w:rPr>
            </w:pPr>
            <w:r w:rsidRPr="002A05F5">
              <w:rPr>
                <w:rStyle w:val="a9"/>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A05F5" w:rsidRPr="002A05F5" w:rsidRDefault="002A05F5" w:rsidP="002A05F5">
            <w:pPr>
              <w:rPr>
                <w:sz w:val="28"/>
                <w:szCs w:val="28"/>
                <w:lang w:val="en-US" w:eastAsia="en-US"/>
              </w:rPr>
            </w:pPr>
            <w:r w:rsidRPr="002A05F5">
              <w:rPr>
                <w:bCs/>
                <w:color w:val="000000"/>
                <w:sz w:val="28"/>
                <w:szCs w:val="28"/>
                <w:lang w:eastAsia="en-US"/>
              </w:rPr>
              <w:t>7-06-03</w:t>
            </w:r>
            <w:r w:rsidRPr="002A05F5">
              <w:rPr>
                <w:bCs/>
                <w:color w:val="000000"/>
                <w:sz w:val="28"/>
                <w:szCs w:val="28"/>
                <w:lang w:val="en-US" w:eastAsia="en-US"/>
              </w:rPr>
              <w:t>13</w:t>
            </w:r>
            <w:r w:rsidRPr="002A05F5">
              <w:rPr>
                <w:bCs/>
                <w:color w:val="000000"/>
                <w:sz w:val="28"/>
                <w:szCs w:val="28"/>
                <w:lang w:eastAsia="en-US"/>
              </w:rPr>
              <w:t>-0</w:t>
            </w:r>
            <w:r w:rsidRPr="002A05F5">
              <w:rPr>
                <w:bCs/>
                <w:color w:val="000000"/>
                <w:sz w:val="28"/>
                <w:szCs w:val="28"/>
                <w:lang w:val="en-US" w:eastAsia="en-US"/>
              </w:rPr>
              <w:t>1 Psychology</w:t>
            </w:r>
          </w:p>
        </w:tc>
      </w:tr>
      <w:tr w:rsidR="002A05F5" w:rsidTr="002A05F5">
        <w:tc>
          <w:tcPr>
            <w:tcW w:w="3227" w:type="dxa"/>
            <w:tcBorders>
              <w:top w:val="single" w:sz="4" w:space="0" w:color="auto"/>
              <w:left w:val="single" w:sz="4" w:space="0" w:color="auto"/>
              <w:bottom w:val="single" w:sz="4" w:space="0" w:color="auto"/>
              <w:right w:val="single" w:sz="4" w:space="0" w:color="auto"/>
            </w:tcBorders>
            <w:hideMark/>
          </w:tcPr>
          <w:p w:rsidR="002A05F5" w:rsidRDefault="002A05F5" w:rsidP="002A05F5">
            <w:pPr>
              <w:rPr>
                <w:b/>
                <w:iCs/>
                <w:color w:val="000000"/>
                <w:w w:val="107"/>
                <w:sz w:val="28"/>
                <w:szCs w:val="28"/>
                <w:lang w:val="en-US" w:eastAsia="en-US"/>
              </w:rPr>
            </w:pPr>
            <w:r>
              <w:rPr>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2A05F5" w:rsidRPr="002A05F5" w:rsidRDefault="002A05F5" w:rsidP="002A162C">
            <w:pPr>
              <w:widowControl w:val="0"/>
              <w:rPr>
                <w:sz w:val="28"/>
                <w:szCs w:val="28"/>
              </w:rPr>
            </w:pPr>
            <w:r w:rsidRPr="002A05F5">
              <w:rPr>
                <w:sz w:val="28"/>
                <w:szCs w:val="28"/>
              </w:rPr>
              <w:t>1</w:t>
            </w:r>
          </w:p>
        </w:tc>
      </w:tr>
      <w:tr w:rsidR="002A05F5" w:rsidTr="002A05F5">
        <w:tc>
          <w:tcPr>
            <w:tcW w:w="3227" w:type="dxa"/>
            <w:tcBorders>
              <w:top w:val="single" w:sz="4" w:space="0" w:color="auto"/>
              <w:left w:val="single" w:sz="4" w:space="0" w:color="auto"/>
              <w:bottom w:val="single" w:sz="4" w:space="0" w:color="auto"/>
              <w:right w:val="single" w:sz="4" w:space="0" w:color="auto"/>
            </w:tcBorders>
            <w:hideMark/>
          </w:tcPr>
          <w:p w:rsidR="002A05F5" w:rsidRDefault="002A05F5" w:rsidP="002A05F5">
            <w:pPr>
              <w:rPr>
                <w:b/>
                <w:iCs/>
                <w:color w:val="000000"/>
                <w:w w:val="107"/>
                <w:sz w:val="28"/>
                <w:szCs w:val="28"/>
                <w:lang w:val="en-US" w:eastAsia="en-US"/>
              </w:rPr>
            </w:pPr>
            <w:r>
              <w:rPr>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2A05F5" w:rsidRPr="002A05F5" w:rsidRDefault="002A05F5" w:rsidP="002A162C">
            <w:pPr>
              <w:widowControl w:val="0"/>
              <w:rPr>
                <w:sz w:val="28"/>
                <w:szCs w:val="28"/>
              </w:rPr>
            </w:pPr>
            <w:r w:rsidRPr="002A05F5">
              <w:rPr>
                <w:sz w:val="28"/>
                <w:szCs w:val="28"/>
              </w:rPr>
              <w:t>1</w:t>
            </w:r>
          </w:p>
        </w:tc>
      </w:tr>
      <w:tr w:rsidR="002A05F5" w:rsidTr="002A05F5">
        <w:tc>
          <w:tcPr>
            <w:tcW w:w="3227" w:type="dxa"/>
            <w:tcBorders>
              <w:top w:val="single" w:sz="4" w:space="0" w:color="auto"/>
              <w:left w:val="single" w:sz="4" w:space="0" w:color="auto"/>
              <w:bottom w:val="single" w:sz="4" w:space="0" w:color="auto"/>
              <w:right w:val="single" w:sz="4" w:space="0" w:color="auto"/>
            </w:tcBorders>
            <w:hideMark/>
          </w:tcPr>
          <w:p w:rsidR="002A05F5" w:rsidRDefault="002A05F5" w:rsidP="002A05F5">
            <w:pPr>
              <w:rPr>
                <w:b/>
                <w:iCs/>
                <w:color w:val="000000"/>
                <w:w w:val="107"/>
                <w:sz w:val="28"/>
                <w:szCs w:val="28"/>
                <w:lang w:val="en-US" w:eastAsia="en-US"/>
              </w:rPr>
            </w:pPr>
            <w:r>
              <w:rPr>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2A05F5" w:rsidRPr="002A05F5" w:rsidRDefault="002A05F5" w:rsidP="002A162C">
            <w:pPr>
              <w:widowControl w:val="0"/>
              <w:rPr>
                <w:sz w:val="28"/>
                <w:szCs w:val="28"/>
              </w:rPr>
            </w:pPr>
            <w:r w:rsidRPr="002A05F5">
              <w:rPr>
                <w:sz w:val="28"/>
                <w:szCs w:val="28"/>
              </w:rPr>
              <w:t>40</w:t>
            </w:r>
          </w:p>
        </w:tc>
      </w:tr>
      <w:tr w:rsidR="002A05F5" w:rsidTr="002A05F5">
        <w:tc>
          <w:tcPr>
            <w:tcW w:w="3227" w:type="dxa"/>
            <w:vMerge w:val="restart"/>
            <w:tcBorders>
              <w:top w:val="single" w:sz="4" w:space="0" w:color="auto"/>
              <w:left w:val="single" w:sz="4" w:space="0" w:color="auto"/>
              <w:bottom w:val="single" w:sz="4" w:space="0" w:color="auto"/>
              <w:right w:val="single" w:sz="4" w:space="0" w:color="auto"/>
            </w:tcBorders>
            <w:hideMark/>
          </w:tcPr>
          <w:p w:rsidR="002A05F5" w:rsidRDefault="002A05F5" w:rsidP="002A05F5">
            <w:pPr>
              <w:rPr>
                <w:b/>
                <w:iCs/>
                <w:color w:val="000000"/>
                <w:w w:val="107"/>
                <w:sz w:val="28"/>
                <w:szCs w:val="28"/>
                <w:lang w:val="en-US" w:eastAsia="en-US"/>
              </w:rPr>
            </w:pPr>
            <w:r>
              <w:rPr>
                <w:b/>
                <w:sz w:val="28"/>
                <w:szCs w:val="28"/>
                <w:lang w:val="en-US" w:eastAsia="en-US"/>
              </w:rPr>
              <w:t>Lectures</w:t>
            </w:r>
          </w:p>
          <w:p w:rsidR="002A05F5" w:rsidRDefault="002A05F5" w:rsidP="002A05F5">
            <w:pPr>
              <w:rPr>
                <w:rFonts w:eastAsiaTheme="minorEastAsia"/>
                <w:b/>
                <w:sz w:val="28"/>
                <w:szCs w:val="28"/>
                <w:lang w:val="en-US" w:eastAsia="en-US"/>
              </w:rPr>
            </w:pPr>
            <w:r>
              <w:rPr>
                <w:b/>
                <w:sz w:val="28"/>
                <w:szCs w:val="28"/>
                <w:lang w:val="en-US" w:eastAsia="en-US"/>
              </w:rPr>
              <w:t xml:space="preserve">Seminar classes </w:t>
            </w:r>
          </w:p>
          <w:p w:rsidR="002A05F5" w:rsidRDefault="002A05F5" w:rsidP="002A05F5">
            <w:pPr>
              <w:rPr>
                <w:rFonts w:eastAsiaTheme="minorHAnsi"/>
                <w:b/>
                <w:sz w:val="28"/>
                <w:szCs w:val="28"/>
                <w:lang w:val="en-US" w:eastAsia="en-US"/>
              </w:rPr>
            </w:pPr>
            <w:r>
              <w:rPr>
                <w:b/>
                <w:sz w:val="28"/>
                <w:szCs w:val="28"/>
                <w:lang w:val="en-US" w:eastAsia="en-US"/>
              </w:rPr>
              <w:t>Practical classes</w:t>
            </w:r>
          </w:p>
          <w:p w:rsidR="002A05F5" w:rsidRDefault="002A05F5" w:rsidP="002A05F5">
            <w:pPr>
              <w:rPr>
                <w:b/>
                <w:iCs/>
                <w:color w:val="000000"/>
                <w:w w:val="107"/>
                <w:sz w:val="28"/>
                <w:szCs w:val="28"/>
                <w:lang w:val="en-US" w:eastAsia="en-US"/>
              </w:rPr>
            </w:pPr>
            <w:r>
              <w:rPr>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2A05F5" w:rsidRPr="002A05F5" w:rsidRDefault="002A05F5" w:rsidP="002A162C">
            <w:pPr>
              <w:widowControl w:val="0"/>
              <w:rPr>
                <w:sz w:val="28"/>
                <w:szCs w:val="28"/>
              </w:rPr>
            </w:pPr>
            <w:r w:rsidRPr="002A05F5">
              <w:rPr>
                <w:sz w:val="28"/>
                <w:szCs w:val="28"/>
              </w:rPr>
              <w:t>18</w:t>
            </w:r>
          </w:p>
        </w:tc>
      </w:tr>
      <w:tr w:rsidR="002A05F5" w:rsidTr="002A05F5">
        <w:tc>
          <w:tcPr>
            <w:tcW w:w="0" w:type="auto"/>
            <w:vMerge/>
            <w:tcBorders>
              <w:top w:val="single" w:sz="4" w:space="0" w:color="auto"/>
              <w:left w:val="single" w:sz="4" w:space="0" w:color="auto"/>
              <w:bottom w:val="single" w:sz="4" w:space="0" w:color="auto"/>
              <w:right w:val="single" w:sz="4" w:space="0" w:color="auto"/>
            </w:tcBorders>
            <w:vAlign w:val="center"/>
            <w:hideMark/>
          </w:tcPr>
          <w:p w:rsidR="002A05F5" w:rsidRDefault="002A05F5" w:rsidP="002A05F5">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A05F5" w:rsidRPr="002A05F5" w:rsidRDefault="002A05F5" w:rsidP="002A162C">
            <w:pPr>
              <w:widowControl w:val="0"/>
              <w:rPr>
                <w:sz w:val="28"/>
                <w:szCs w:val="28"/>
              </w:rPr>
            </w:pPr>
            <w:r w:rsidRPr="002A05F5">
              <w:rPr>
                <w:sz w:val="28"/>
                <w:szCs w:val="28"/>
              </w:rPr>
              <w:t>4</w:t>
            </w:r>
          </w:p>
        </w:tc>
      </w:tr>
      <w:tr w:rsidR="002A05F5" w:rsidTr="002A05F5">
        <w:tc>
          <w:tcPr>
            <w:tcW w:w="0" w:type="auto"/>
            <w:vMerge/>
            <w:tcBorders>
              <w:top w:val="single" w:sz="4" w:space="0" w:color="auto"/>
              <w:left w:val="single" w:sz="4" w:space="0" w:color="auto"/>
              <w:bottom w:val="single" w:sz="4" w:space="0" w:color="auto"/>
              <w:right w:val="single" w:sz="4" w:space="0" w:color="auto"/>
            </w:tcBorders>
            <w:vAlign w:val="center"/>
            <w:hideMark/>
          </w:tcPr>
          <w:p w:rsidR="002A05F5" w:rsidRDefault="002A05F5" w:rsidP="002A05F5">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A05F5" w:rsidRPr="002A05F5" w:rsidRDefault="002A05F5" w:rsidP="002A162C">
            <w:pPr>
              <w:widowControl w:val="0"/>
              <w:rPr>
                <w:sz w:val="28"/>
                <w:szCs w:val="28"/>
              </w:rPr>
            </w:pPr>
            <w:r w:rsidRPr="002A05F5">
              <w:rPr>
                <w:sz w:val="28"/>
                <w:szCs w:val="28"/>
              </w:rPr>
              <w:t>18</w:t>
            </w:r>
          </w:p>
        </w:tc>
      </w:tr>
      <w:tr w:rsidR="002A05F5" w:rsidTr="002A05F5">
        <w:tc>
          <w:tcPr>
            <w:tcW w:w="0" w:type="auto"/>
            <w:vMerge/>
            <w:tcBorders>
              <w:top w:val="single" w:sz="4" w:space="0" w:color="auto"/>
              <w:left w:val="single" w:sz="4" w:space="0" w:color="auto"/>
              <w:bottom w:val="single" w:sz="4" w:space="0" w:color="auto"/>
              <w:right w:val="single" w:sz="4" w:space="0" w:color="auto"/>
            </w:tcBorders>
            <w:vAlign w:val="center"/>
            <w:hideMark/>
          </w:tcPr>
          <w:p w:rsidR="002A05F5" w:rsidRDefault="002A05F5" w:rsidP="002A05F5">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A05F5" w:rsidRPr="002A05F5" w:rsidRDefault="002A05F5" w:rsidP="002A162C">
            <w:pPr>
              <w:widowControl w:val="0"/>
              <w:rPr>
                <w:sz w:val="28"/>
                <w:szCs w:val="28"/>
              </w:rPr>
            </w:pPr>
            <w:r w:rsidRPr="002A05F5">
              <w:rPr>
                <w:sz w:val="28"/>
                <w:szCs w:val="28"/>
              </w:rPr>
              <w:t>-</w:t>
            </w:r>
          </w:p>
        </w:tc>
      </w:tr>
      <w:tr w:rsidR="002A05F5" w:rsidTr="002A05F5">
        <w:tc>
          <w:tcPr>
            <w:tcW w:w="3227" w:type="dxa"/>
            <w:tcBorders>
              <w:top w:val="single" w:sz="4" w:space="0" w:color="auto"/>
              <w:left w:val="single" w:sz="4" w:space="0" w:color="auto"/>
              <w:bottom w:val="single" w:sz="4" w:space="0" w:color="auto"/>
              <w:right w:val="single" w:sz="4" w:space="0" w:color="auto"/>
            </w:tcBorders>
            <w:hideMark/>
          </w:tcPr>
          <w:p w:rsidR="002A05F5" w:rsidRDefault="002A05F5" w:rsidP="002A05F5">
            <w:pPr>
              <w:rPr>
                <w:b/>
                <w:iCs/>
                <w:color w:val="000000"/>
                <w:w w:val="107"/>
                <w:sz w:val="28"/>
                <w:szCs w:val="28"/>
                <w:lang w:val="en-US" w:eastAsia="en-US"/>
              </w:rPr>
            </w:pPr>
            <w:r>
              <w:rPr>
                <w:b/>
                <w:sz w:val="28"/>
                <w:szCs w:val="28"/>
                <w:lang w:val="en-US" w:eastAsia="en-US"/>
              </w:rPr>
              <w:t>Form of the current assessment (</w:t>
            </w:r>
            <w:r>
              <w:rPr>
                <w:b/>
                <w:i/>
                <w:sz w:val="28"/>
                <w:szCs w:val="28"/>
                <w:lang w:val="en-US" w:eastAsia="en-US"/>
              </w:rPr>
              <w:t>credit/ graded credit /exam</w:t>
            </w:r>
            <w:r>
              <w:rPr>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2A05F5" w:rsidRDefault="002A05F5" w:rsidP="002A05F5">
            <w:pPr>
              <w:rPr>
                <w:sz w:val="28"/>
                <w:szCs w:val="28"/>
                <w:lang w:val="en-US" w:eastAsia="en-US"/>
              </w:rPr>
            </w:pPr>
            <w:r>
              <w:rPr>
                <w:sz w:val="28"/>
                <w:szCs w:val="28"/>
                <w:lang w:val="en-US" w:eastAsia="en-US"/>
              </w:rPr>
              <w:t>exam</w:t>
            </w:r>
          </w:p>
        </w:tc>
      </w:tr>
      <w:tr w:rsidR="002A05F5" w:rsidTr="002A05F5">
        <w:tc>
          <w:tcPr>
            <w:tcW w:w="3227" w:type="dxa"/>
            <w:tcBorders>
              <w:top w:val="single" w:sz="4" w:space="0" w:color="auto"/>
              <w:left w:val="single" w:sz="4" w:space="0" w:color="auto"/>
              <w:bottom w:val="single" w:sz="4" w:space="0" w:color="auto"/>
              <w:right w:val="single" w:sz="4" w:space="0" w:color="auto"/>
            </w:tcBorders>
            <w:hideMark/>
          </w:tcPr>
          <w:p w:rsidR="002A05F5" w:rsidRDefault="002A05F5" w:rsidP="002A05F5">
            <w:pPr>
              <w:rPr>
                <w:b/>
                <w:iCs/>
                <w:color w:val="000000"/>
                <w:w w:val="107"/>
                <w:sz w:val="28"/>
                <w:szCs w:val="28"/>
                <w:lang w:val="en-US" w:eastAsia="en-US"/>
              </w:rPr>
            </w:pPr>
            <w:r>
              <w:rPr>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2A05F5" w:rsidRDefault="002A05F5" w:rsidP="002A05F5">
            <w:pPr>
              <w:rPr>
                <w:sz w:val="28"/>
                <w:szCs w:val="28"/>
                <w:lang w:val="en-US" w:eastAsia="en-US"/>
              </w:rPr>
            </w:pPr>
            <w:r>
              <w:rPr>
                <w:sz w:val="28"/>
                <w:szCs w:val="28"/>
                <w:lang w:val="en-US" w:eastAsia="en-US"/>
              </w:rPr>
              <w:t>3</w:t>
            </w:r>
          </w:p>
        </w:tc>
      </w:tr>
      <w:tr w:rsidR="002A05F5" w:rsidRPr="00891E81" w:rsidTr="002A05F5">
        <w:tc>
          <w:tcPr>
            <w:tcW w:w="3227" w:type="dxa"/>
            <w:tcBorders>
              <w:top w:val="single" w:sz="4" w:space="0" w:color="auto"/>
              <w:left w:val="single" w:sz="4" w:space="0" w:color="auto"/>
              <w:bottom w:val="single" w:sz="4" w:space="0" w:color="auto"/>
              <w:right w:val="single" w:sz="4" w:space="0" w:color="auto"/>
            </w:tcBorders>
            <w:hideMark/>
          </w:tcPr>
          <w:p w:rsidR="002A05F5" w:rsidRDefault="002A05F5" w:rsidP="002A05F5">
            <w:pPr>
              <w:rPr>
                <w:b/>
                <w:iCs/>
                <w:color w:val="000000"/>
                <w:w w:val="107"/>
                <w:sz w:val="28"/>
                <w:szCs w:val="28"/>
                <w:lang w:val="en-US" w:eastAsia="en-US"/>
              </w:rPr>
            </w:pPr>
            <w:r>
              <w:rPr>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2A05F5" w:rsidRDefault="002A05F5" w:rsidP="002A05F5">
            <w:pPr>
              <w:ind w:right="-2"/>
              <w:jc w:val="both"/>
              <w:rPr>
                <w:sz w:val="28"/>
                <w:szCs w:val="28"/>
                <w:lang w:val="en-US" w:eastAsia="en-US"/>
              </w:rPr>
            </w:pPr>
            <w:r w:rsidRPr="002A05F5">
              <w:rPr>
                <w:sz w:val="28"/>
                <w:szCs w:val="28"/>
                <w:lang w:val="en-US" w:eastAsia="en-US"/>
              </w:rPr>
              <w:t xml:space="preserve">Develop innovative receptivity and the ability to innovative activity. </w:t>
            </w:r>
          </w:p>
          <w:p w:rsidR="002A05F5" w:rsidRDefault="002A05F5" w:rsidP="002A05F5">
            <w:pPr>
              <w:ind w:right="-2"/>
              <w:jc w:val="both"/>
              <w:rPr>
                <w:sz w:val="28"/>
                <w:szCs w:val="28"/>
                <w:lang w:val="en-US" w:eastAsia="en-US"/>
              </w:rPr>
            </w:pPr>
            <w:r w:rsidRPr="002A05F5">
              <w:rPr>
                <w:sz w:val="28"/>
                <w:szCs w:val="28"/>
                <w:lang w:val="en-US" w:eastAsia="en-US"/>
              </w:rPr>
              <w:t>Analyze, develop and apply pedagogical technologies and psychological techniques for optimizing educational activity and maintaining the personal effectiveness of subjects in the conditions of activity in higher education.</w:t>
            </w:r>
          </w:p>
        </w:tc>
      </w:tr>
      <w:tr w:rsidR="002A05F5" w:rsidRPr="00891E81" w:rsidTr="002A05F5">
        <w:tc>
          <w:tcPr>
            <w:tcW w:w="9570" w:type="dxa"/>
            <w:gridSpan w:val="2"/>
            <w:tcBorders>
              <w:top w:val="single" w:sz="4" w:space="0" w:color="auto"/>
              <w:left w:val="single" w:sz="4" w:space="0" w:color="auto"/>
              <w:bottom w:val="single" w:sz="4" w:space="0" w:color="auto"/>
              <w:right w:val="single" w:sz="4" w:space="0" w:color="auto"/>
            </w:tcBorders>
            <w:hideMark/>
          </w:tcPr>
          <w:p w:rsidR="002A05F5" w:rsidRDefault="002A05F5" w:rsidP="002A05F5">
            <w:pPr>
              <w:jc w:val="center"/>
              <w:rPr>
                <w:b/>
                <w:iCs/>
                <w:w w:val="107"/>
                <w:sz w:val="28"/>
                <w:szCs w:val="28"/>
                <w:lang w:val="en-US" w:eastAsia="en-US"/>
              </w:rPr>
            </w:pPr>
            <w:r>
              <w:rPr>
                <w:b/>
                <w:sz w:val="28"/>
                <w:szCs w:val="28"/>
                <w:lang w:val="en-US" w:eastAsia="en-US"/>
              </w:rPr>
              <w:t>Summary of the academic discipline:</w:t>
            </w:r>
          </w:p>
          <w:p w:rsidR="002A05F5" w:rsidRDefault="002A05F5" w:rsidP="002A05F5">
            <w:pPr>
              <w:autoSpaceDE w:val="0"/>
              <w:autoSpaceDN w:val="0"/>
              <w:adjustRightInd w:val="0"/>
              <w:ind w:firstLine="709"/>
              <w:jc w:val="both"/>
              <w:rPr>
                <w:sz w:val="28"/>
                <w:szCs w:val="28"/>
                <w:lang w:val="en-US" w:eastAsia="en-US"/>
              </w:rPr>
            </w:pPr>
            <w:r w:rsidRPr="002A05F5">
              <w:rPr>
                <w:sz w:val="28"/>
                <w:szCs w:val="28"/>
                <w:lang w:val="en-US" w:eastAsia="en-US"/>
              </w:rPr>
              <w:t xml:space="preserve">The academic discipline "Modern Technologies of Teaching Psychology in the System of Higher and Further Education" is included in the system of academic disciplines providing theoretical and practical training for masters in the specialty 7-06-0313-01 Psychology. </w:t>
            </w:r>
          </w:p>
          <w:p w:rsidR="002A05F5" w:rsidRDefault="002A05F5" w:rsidP="002A05F5">
            <w:pPr>
              <w:autoSpaceDE w:val="0"/>
              <w:autoSpaceDN w:val="0"/>
              <w:adjustRightInd w:val="0"/>
              <w:ind w:firstLine="709"/>
              <w:jc w:val="both"/>
              <w:rPr>
                <w:sz w:val="28"/>
                <w:szCs w:val="28"/>
                <w:lang w:val="en-US" w:eastAsia="en-US"/>
              </w:rPr>
            </w:pPr>
            <w:r w:rsidRPr="002A05F5">
              <w:rPr>
                <w:sz w:val="28"/>
                <w:szCs w:val="28"/>
                <w:lang w:val="en-US" w:eastAsia="en-US"/>
              </w:rPr>
              <w:t>The academic discipline belongs to the module "Scientific and Pedagogical Activity" of the state component. The content of the discipline reflects the issues of implementing the activities of a teacher of psychology in higher education. Particular attention is paid to the specifics of the professional position of a psychology teacher: its features when teaching at a specialized faculty and at a subject faculty. The features and difficulties in developing methodological aspects of teaching psychology in a higher educational institution are considered.</w:t>
            </w:r>
          </w:p>
        </w:tc>
      </w:tr>
    </w:tbl>
    <w:p w:rsidR="002A05F5" w:rsidRDefault="002A05F5" w:rsidP="002A05F5">
      <w:pPr>
        <w:rPr>
          <w:b/>
          <w:sz w:val="28"/>
          <w:szCs w:val="28"/>
          <w:lang w:val="en-US" w:eastAsia="en-US"/>
        </w:rPr>
      </w:pPr>
    </w:p>
    <w:p w:rsidR="009D7F94" w:rsidRPr="002A05F5" w:rsidRDefault="009D7F94" w:rsidP="002A05F5">
      <w:pPr>
        <w:rPr>
          <w:sz w:val="26"/>
          <w:szCs w:val="26"/>
          <w:lang w:val="en-US"/>
        </w:rPr>
      </w:pPr>
    </w:p>
    <w:sectPr w:rsidR="009D7F94" w:rsidRPr="002A05F5" w:rsidSect="00965605">
      <w:pgSz w:w="11906" w:h="16838"/>
      <w:pgMar w:top="851" w:right="850" w:bottom="113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28" w:rsidRDefault="00526728" w:rsidP="009D7F94">
      <w:r>
        <w:separator/>
      </w:r>
    </w:p>
  </w:endnote>
  <w:endnote w:type="continuationSeparator" w:id="0">
    <w:p w:rsidR="00526728" w:rsidRDefault="00526728" w:rsidP="009D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28" w:rsidRDefault="00526728" w:rsidP="009D7F94">
      <w:r>
        <w:separator/>
      </w:r>
    </w:p>
  </w:footnote>
  <w:footnote w:type="continuationSeparator" w:id="0">
    <w:p w:rsidR="00526728" w:rsidRDefault="00526728" w:rsidP="009D7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1B9"/>
    <w:multiLevelType w:val="hybridMultilevel"/>
    <w:tmpl w:val="3E5478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6C4064"/>
    <w:multiLevelType w:val="hybridMultilevel"/>
    <w:tmpl w:val="8FB4981E"/>
    <w:lvl w:ilvl="0" w:tplc="9E6077E2">
      <w:start w:val="1"/>
      <w:numFmt w:val="decimal"/>
      <w:lvlText w:val="%1."/>
      <w:lvlJc w:val="left"/>
      <w:pPr>
        <w:ind w:left="1840"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85B69"/>
    <w:multiLevelType w:val="hybridMultilevel"/>
    <w:tmpl w:val="17708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E1444"/>
    <w:multiLevelType w:val="hybridMultilevel"/>
    <w:tmpl w:val="702E0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C82024"/>
    <w:multiLevelType w:val="hybridMultilevel"/>
    <w:tmpl w:val="6D0622A2"/>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36BA310E"/>
    <w:multiLevelType w:val="hybridMultilevel"/>
    <w:tmpl w:val="3D868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B63A0A"/>
    <w:multiLevelType w:val="hybridMultilevel"/>
    <w:tmpl w:val="5C2C8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292BBD"/>
    <w:multiLevelType w:val="hybridMultilevel"/>
    <w:tmpl w:val="6DCCBE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F646D3E"/>
    <w:multiLevelType w:val="hybridMultilevel"/>
    <w:tmpl w:val="699A9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F4E7C"/>
    <w:multiLevelType w:val="hybridMultilevel"/>
    <w:tmpl w:val="6B0ACE0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2"/>
  </w:num>
  <w:num w:numId="7">
    <w:abstractNumId w:val="3"/>
  </w:num>
  <w:num w:numId="8">
    <w:abstractNumId w:val="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0D1757"/>
    <w:rsid w:val="000E2AA0"/>
    <w:rsid w:val="000F022A"/>
    <w:rsid w:val="0015496F"/>
    <w:rsid w:val="002A05F5"/>
    <w:rsid w:val="004C06F3"/>
    <w:rsid w:val="004C4382"/>
    <w:rsid w:val="004F1469"/>
    <w:rsid w:val="00526728"/>
    <w:rsid w:val="00574432"/>
    <w:rsid w:val="006E43C0"/>
    <w:rsid w:val="00716B80"/>
    <w:rsid w:val="00891E81"/>
    <w:rsid w:val="00910D69"/>
    <w:rsid w:val="0095075B"/>
    <w:rsid w:val="00965605"/>
    <w:rsid w:val="009B3C5F"/>
    <w:rsid w:val="009D7F94"/>
    <w:rsid w:val="00AE27EA"/>
    <w:rsid w:val="00B9090D"/>
    <w:rsid w:val="00C82F92"/>
    <w:rsid w:val="00DB0EA1"/>
    <w:rsid w:val="00DD1084"/>
    <w:rsid w:val="00E83049"/>
    <w:rsid w:val="00EB1BD2"/>
    <w:rsid w:val="00EC4F9E"/>
    <w:rsid w:val="00FA79B0"/>
    <w:rsid w:val="00FB2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2A05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2A0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6372">
      <w:bodyDiv w:val="1"/>
      <w:marLeft w:val="0"/>
      <w:marRight w:val="0"/>
      <w:marTop w:val="0"/>
      <w:marBottom w:val="0"/>
      <w:divBdr>
        <w:top w:val="none" w:sz="0" w:space="0" w:color="auto"/>
        <w:left w:val="none" w:sz="0" w:space="0" w:color="auto"/>
        <w:bottom w:val="none" w:sz="0" w:space="0" w:color="auto"/>
        <w:right w:val="none" w:sz="0" w:space="0" w:color="auto"/>
      </w:divBdr>
    </w:div>
    <w:div w:id="123189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2025-05-27T18:28:00Z</dcterms:created>
  <dcterms:modified xsi:type="dcterms:W3CDTF">2025-05-27T18:28:00Z</dcterms:modified>
</cp:coreProperties>
</file>