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E4A" w:rsidRPr="00DA0E4A" w:rsidRDefault="00DA0E4A" w:rsidP="00DA0E4A">
      <w:pPr>
        <w:spacing w:after="0" w:line="240" w:lineRule="auto"/>
        <w:ind w:firstLine="709"/>
        <w:jc w:val="center"/>
        <w:rPr>
          <w:rFonts w:ascii="Times New Roman" w:hAnsi="Times New Roman" w:cs="Times New Roman"/>
          <w:b/>
          <w:sz w:val="28"/>
          <w:szCs w:val="28"/>
          <w:lang w:val="en-US"/>
        </w:rPr>
      </w:pPr>
      <w:r w:rsidRPr="00DA0E4A">
        <w:rPr>
          <w:rFonts w:ascii="Times New Roman" w:hAnsi="Times New Roman" w:cs="Times New Roman"/>
          <w:b/>
          <w:sz w:val="28"/>
          <w:szCs w:val="28"/>
          <w:lang w:val="en-US"/>
        </w:rPr>
        <w:t xml:space="preserve">Name of the </w:t>
      </w:r>
      <w:r w:rsidR="00C7702D">
        <w:rPr>
          <w:rFonts w:ascii="Times New Roman" w:hAnsi="Times New Roman" w:cs="Times New Roman"/>
          <w:b/>
          <w:sz w:val="28"/>
          <w:szCs w:val="28"/>
          <w:lang w:val="en-US"/>
        </w:rPr>
        <w:t xml:space="preserve">academic </w:t>
      </w:r>
      <w:r w:rsidRPr="00DA0E4A">
        <w:rPr>
          <w:rFonts w:ascii="Times New Roman" w:hAnsi="Times New Roman" w:cs="Times New Roman"/>
          <w:b/>
          <w:sz w:val="28"/>
          <w:szCs w:val="28"/>
          <w:lang w:val="en-US"/>
        </w:rPr>
        <w:t>discipline:</w:t>
      </w:r>
    </w:p>
    <w:p w:rsidR="00DA0E4A" w:rsidRPr="008F3D11" w:rsidRDefault="008F3D11" w:rsidP="00DA0E4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bookmarkStart w:id="0" w:name="_GoBack"/>
      <w:r w:rsidR="00DA0E4A" w:rsidRPr="00DA0E4A">
        <w:rPr>
          <w:rFonts w:ascii="Times New Roman" w:hAnsi="Times New Roman" w:cs="Times New Roman"/>
          <w:b/>
          <w:sz w:val="28"/>
          <w:szCs w:val="28"/>
          <w:lang w:val="en-US"/>
        </w:rPr>
        <w:t>Language of the discourse</w:t>
      </w:r>
      <w:bookmarkEnd w:id="0"/>
      <w:r>
        <w:rPr>
          <w:rFonts w:ascii="Times New Roman" w:hAnsi="Times New Roman" w:cs="Times New Roman"/>
          <w:b/>
          <w:sz w:val="28"/>
          <w:szCs w:val="28"/>
        </w:rPr>
        <w:t>»</w:t>
      </w:r>
    </w:p>
    <w:p w:rsidR="00DA0E4A" w:rsidRPr="00DA0E4A" w:rsidRDefault="00DA0E4A" w:rsidP="00DA0E4A">
      <w:pPr>
        <w:spacing w:after="0" w:line="240" w:lineRule="auto"/>
        <w:ind w:firstLine="709"/>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4"/>
      </w:tblGrid>
      <w:tr w:rsidR="00DA0E4A" w:rsidRPr="00DA0E4A" w:rsidTr="008A0AEC">
        <w:tc>
          <w:tcPr>
            <w:tcW w:w="3227" w:type="dxa"/>
          </w:tcPr>
          <w:p w:rsidR="00DA0E4A" w:rsidRPr="00DA0E4A" w:rsidRDefault="00DA0E4A" w:rsidP="00DA0E4A">
            <w:pPr>
              <w:spacing w:after="0"/>
              <w:rPr>
                <w:rFonts w:ascii="Times New Roman" w:hAnsi="Times New Roman" w:cs="Times New Roman"/>
                <w:b/>
                <w:sz w:val="28"/>
                <w:szCs w:val="28"/>
              </w:rPr>
            </w:pPr>
            <w:proofErr w:type="spellStart"/>
            <w:r w:rsidRPr="00DA0E4A">
              <w:rPr>
                <w:rFonts w:ascii="Times New Roman" w:hAnsi="Times New Roman" w:cs="Times New Roman"/>
                <w:b/>
                <w:sz w:val="28"/>
                <w:szCs w:val="28"/>
              </w:rPr>
              <w:t>Specialty</w:t>
            </w:r>
            <w:proofErr w:type="spellEnd"/>
            <w:r w:rsidRPr="00DA0E4A">
              <w:rPr>
                <w:rFonts w:ascii="Times New Roman" w:hAnsi="Times New Roman" w:cs="Times New Roman"/>
                <w:b/>
                <w:sz w:val="28"/>
                <w:szCs w:val="28"/>
              </w:rPr>
              <w:t xml:space="preserve"> </w:t>
            </w:r>
            <w:proofErr w:type="spellStart"/>
            <w:r w:rsidRPr="00DA0E4A">
              <w:rPr>
                <w:rFonts w:ascii="Times New Roman" w:hAnsi="Times New Roman" w:cs="Times New Roman"/>
                <w:b/>
                <w:sz w:val="28"/>
                <w:szCs w:val="28"/>
              </w:rPr>
              <w:t>code</w:t>
            </w:r>
            <w:proofErr w:type="spellEnd"/>
            <w:r w:rsidRPr="00DA0E4A">
              <w:rPr>
                <w:rFonts w:ascii="Times New Roman" w:hAnsi="Times New Roman" w:cs="Times New Roman"/>
                <w:b/>
                <w:sz w:val="28"/>
                <w:szCs w:val="28"/>
              </w:rPr>
              <w:t xml:space="preserve"> </w:t>
            </w:r>
            <w:proofErr w:type="spellStart"/>
            <w:r w:rsidRPr="00DA0E4A">
              <w:rPr>
                <w:rFonts w:ascii="Times New Roman" w:hAnsi="Times New Roman" w:cs="Times New Roman"/>
                <w:b/>
                <w:sz w:val="28"/>
                <w:szCs w:val="28"/>
              </w:rPr>
              <w:t>and</w:t>
            </w:r>
            <w:proofErr w:type="spellEnd"/>
            <w:r w:rsidRPr="00DA0E4A">
              <w:rPr>
                <w:rFonts w:ascii="Times New Roman" w:hAnsi="Times New Roman" w:cs="Times New Roman"/>
                <w:b/>
                <w:sz w:val="28"/>
                <w:szCs w:val="28"/>
              </w:rPr>
              <w:t xml:space="preserve"> </w:t>
            </w:r>
            <w:proofErr w:type="spellStart"/>
            <w:r w:rsidRPr="00DA0E4A">
              <w:rPr>
                <w:rFonts w:ascii="Times New Roman" w:hAnsi="Times New Roman" w:cs="Times New Roman"/>
                <w:b/>
                <w:sz w:val="28"/>
                <w:szCs w:val="28"/>
              </w:rPr>
              <w:t>name</w:t>
            </w:r>
            <w:proofErr w:type="spellEnd"/>
          </w:p>
        </w:tc>
        <w:tc>
          <w:tcPr>
            <w:tcW w:w="6344" w:type="dxa"/>
          </w:tcPr>
          <w:p w:rsidR="00DA0E4A" w:rsidRPr="00DA0E4A" w:rsidRDefault="00DA0E4A" w:rsidP="00DA0E4A">
            <w:pPr>
              <w:spacing w:after="0"/>
              <w:rPr>
                <w:rFonts w:ascii="Times New Roman" w:hAnsi="Times New Roman" w:cs="Times New Roman"/>
                <w:sz w:val="28"/>
                <w:szCs w:val="28"/>
              </w:rPr>
            </w:pPr>
            <w:r w:rsidRPr="00DA0E4A">
              <w:rPr>
                <w:rFonts w:ascii="Times New Roman" w:hAnsi="Times New Roman" w:cs="Times New Roman"/>
                <w:color w:val="1A1A1A"/>
                <w:sz w:val="28"/>
                <w:szCs w:val="28"/>
                <w:shd w:val="clear" w:color="auto" w:fill="FFFFFF"/>
              </w:rPr>
              <w:t>7-06-0231-03</w:t>
            </w:r>
            <w:r w:rsidRPr="00DA0E4A">
              <w:rPr>
                <w:rFonts w:ascii="Times New Roman" w:hAnsi="Times New Roman" w:cs="Times New Roman"/>
                <w:color w:val="1A1A1A"/>
                <w:sz w:val="28"/>
                <w:szCs w:val="28"/>
                <w:shd w:val="clear" w:color="auto" w:fill="FFFFFF"/>
                <w:lang w:val="en-US"/>
              </w:rPr>
              <w:t xml:space="preserve"> Theoretical and applied linguistics</w:t>
            </w:r>
          </w:p>
        </w:tc>
      </w:tr>
      <w:tr w:rsidR="00DA0E4A" w:rsidRPr="00DA0E4A" w:rsidTr="008A0AEC">
        <w:tc>
          <w:tcPr>
            <w:tcW w:w="3227" w:type="dxa"/>
          </w:tcPr>
          <w:p w:rsidR="00DA0E4A" w:rsidRPr="00DA0E4A" w:rsidRDefault="00DA0E4A" w:rsidP="00DA0E4A">
            <w:pPr>
              <w:spacing w:after="0"/>
              <w:rPr>
                <w:rFonts w:ascii="Times New Roman" w:hAnsi="Times New Roman" w:cs="Times New Roman"/>
                <w:b/>
                <w:sz w:val="28"/>
                <w:szCs w:val="28"/>
              </w:rPr>
            </w:pPr>
            <w:r w:rsidRPr="00DA0E4A">
              <w:rPr>
                <w:rFonts w:ascii="Times New Roman" w:hAnsi="Times New Roman" w:cs="Times New Roman"/>
                <w:b/>
                <w:sz w:val="28"/>
                <w:szCs w:val="28"/>
                <w:lang w:val="en-US"/>
              </w:rPr>
              <w:t>Year</w:t>
            </w:r>
            <w:r w:rsidRPr="00DA0E4A">
              <w:rPr>
                <w:rFonts w:ascii="Times New Roman" w:hAnsi="Times New Roman" w:cs="Times New Roman"/>
                <w:b/>
                <w:sz w:val="28"/>
                <w:szCs w:val="28"/>
              </w:rPr>
              <w:t xml:space="preserve"> </w:t>
            </w:r>
            <w:proofErr w:type="spellStart"/>
            <w:r w:rsidRPr="00DA0E4A">
              <w:rPr>
                <w:rFonts w:ascii="Times New Roman" w:hAnsi="Times New Roman" w:cs="Times New Roman"/>
                <w:b/>
                <w:sz w:val="28"/>
                <w:szCs w:val="28"/>
              </w:rPr>
              <w:t>of</w:t>
            </w:r>
            <w:proofErr w:type="spellEnd"/>
            <w:r w:rsidRPr="00DA0E4A">
              <w:rPr>
                <w:rFonts w:ascii="Times New Roman" w:hAnsi="Times New Roman" w:cs="Times New Roman"/>
                <w:b/>
                <w:sz w:val="28"/>
                <w:szCs w:val="28"/>
              </w:rPr>
              <w:t xml:space="preserve"> </w:t>
            </w:r>
            <w:proofErr w:type="spellStart"/>
            <w:r w:rsidRPr="00DA0E4A">
              <w:rPr>
                <w:rFonts w:ascii="Times New Roman" w:hAnsi="Times New Roman" w:cs="Times New Roman"/>
                <w:b/>
                <w:sz w:val="28"/>
                <w:szCs w:val="28"/>
              </w:rPr>
              <w:t>study</w:t>
            </w:r>
            <w:proofErr w:type="spellEnd"/>
          </w:p>
        </w:tc>
        <w:tc>
          <w:tcPr>
            <w:tcW w:w="6344" w:type="dxa"/>
          </w:tcPr>
          <w:p w:rsidR="00DA0E4A" w:rsidRPr="00DA0E4A" w:rsidRDefault="00DA0E4A" w:rsidP="00DA0E4A">
            <w:pPr>
              <w:spacing w:after="0"/>
              <w:rPr>
                <w:rFonts w:ascii="Times New Roman" w:hAnsi="Times New Roman" w:cs="Times New Roman"/>
                <w:sz w:val="28"/>
                <w:szCs w:val="28"/>
              </w:rPr>
            </w:pPr>
            <w:r w:rsidRPr="00DA0E4A">
              <w:rPr>
                <w:rFonts w:ascii="Times New Roman" w:hAnsi="Times New Roman" w:cs="Times New Roman"/>
                <w:sz w:val="28"/>
                <w:szCs w:val="28"/>
              </w:rPr>
              <w:t>1</w:t>
            </w:r>
          </w:p>
        </w:tc>
      </w:tr>
      <w:tr w:rsidR="00DA0E4A" w:rsidRPr="00DA0E4A" w:rsidTr="008A0AEC">
        <w:tc>
          <w:tcPr>
            <w:tcW w:w="3227" w:type="dxa"/>
          </w:tcPr>
          <w:p w:rsidR="00DA0E4A" w:rsidRPr="00DA0E4A" w:rsidRDefault="00DA0E4A" w:rsidP="00DA0E4A">
            <w:pPr>
              <w:spacing w:after="0"/>
              <w:rPr>
                <w:rFonts w:ascii="Times New Roman" w:hAnsi="Times New Roman" w:cs="Times New Roman"/>
                <w:b/>
                <w:sz w:val="28"/>
                <w:szCs w:val="28"/>
              </w:rPr>
            </w:pPr>
            <w:proofErr w:type="spellStart"/>
            <w:r w:rsidRPr="00DA0E4A">
              <w:rPr>
                <w:rFonts w:ascii="Times New Roman" w:hAnsi="Times New Roman" w:cs="Times New Roman"/>
                <w:b/>
                <w:sz w:val="28"/>
                <w:szCs w:val="28"/>
              </w:rPr>
              <w:t>Semester</w:t>
            </w:r>
            <w:proofErr w:type="spellEnd"/>
            <w:r w:rsidRPr="00DA0E4A">
              <w:rPr>
                <w:rFonts w:ascii="Times New Roman" w:hAnsi="Times New Roman" w:cs="Times New Roman"/>
                <w:b/>
                <w:sz w:val="28"/>
                <w:szCs w:val="28"/>
              </w:rPr>
              <w:t xml:space="preserve"> </w:t>
            </w:r>
            <w:proofErr w:type="spellStart"/>
            <w:r w:rsidRPr="00DA0E4A">
              <w:rPr>
                <w:rFonts w:ascii="Times New Roman" w:hAnsi="Times New Roman" w:cs="Times New Roman"/>
                <w:b/>
                <w:sz w:val="28"/>
                <w:szCs w:val="28"/>
              </w:rPr>
              <w:t>of</w:t>
            </w:r>
            <w:proofErr w:type="spellEnd"/>
            <w:r w:rsidRPr="00DA0E4A">
              <w:rPr>
                <w:rFonts w:ascii="Times New Roman" w:hAnsi="Times New Roman" w:cs="Times New Roman"/>
                <w:b/>
                <w:sz w:val="28"/>
                <w:szCs w:val="28"/>
              </w:rPr>
              <w:t xml:space="preserve"> </w:t>
            </w:r>
            <w:proofErr w:type="spellStart"/>
            <w:r w:rsidRPr="00DA0E4A">
              <w:rPr>
                <w:rFonts w:ascii="Times New Roman" w:hAnsi="Times New Roman" w:cs="Times New Roman"/>
                <w:b/>
                <w:sz w:val="28"/>
                <w:szCs w:val="28"/>
              </w:rPr>
              <w:t>study</w:t>
            </w:r>
            <w:proofErr w:type="spellEnd"/>
          </w:p>
        </w:tc>
        <w:tc>
          <w:tcPr>
            <w:tcW w:w="6344" w:type="dxa"/>
          </w:tcPr>
          <w:p w:rsidR="00DA0E4A" w:rsidRPr="00DA0E4A" w:rsidRDefault="00DA0E4A" w:rsidP="00DA0E4A">
            <w:pPr>
              <w:spacing w:after="0"/>
              <w:rPr>
                <w:rFonts w:ascii="Times New Roman" w:hAnsi="Times New Roman" w:cs="Times New Roman"/>
                <w:sz w:val="28"/>
                <w:szCs w:val="28"/>
                <w:lang w:val="en-US"/>
              </w:rPr>
            </w:pPr>
            <w:r w:rsidRPr="00DA0E4A">
              <w:rPr>
                <w:rFonts w:ascii="Times New Roman" w:hAnsi="Times New Roman" w:cs="Times New Roman"/>
                <w:sz w:val="28"/>
                <w:szCs w:val="28"/>
              </w:rPr>
              <w:t>1</w:t>
            </w:r>
          </w:p>
        </w:tc>
      </w:tr>
      <w:tr w:rsidR="00DA0E4A" w:rsidRPr="00DA0E4A" w:rsidTr="008A0AEC">
        <w:tc>
          <w:tcPr>
            <w:tcW w:w="3227" w:type="dxa"/>
          </w:tcPr>
          <w:p w:rsidR="00DA0E4A" w:rsidRPr="00DA0E4A" w:rsidRDefault="00DA0E4A" w:rsidP="00DA0E4A">
            <w:pPr>
              <w:spacing w:after="0"/>
              <w:rPr>
                <w:rFonts w:ascii="Times New Roman" w:hAnsi="Times New Roman" w:cs="Times New Roman"/>
                <w:b/>
                <w:sz w:val="28"/>
                <w:szCs w:val="28"/>
                <w:lang w:val="en-US"/>
              </w:rPr>
            </w:pPr>
            <w:r w:rsidRPr="00DA0E4A">
              <w:rPr>
                <w:rFonts w:ascii="Times New Roman" w:hAnsi="Times New Roman" w:cs="Times New Roman"/>
                <w:b/>
                <w:sz w:val="28"/>
                <w:szCs w:val="28"/>
                <w:lang w:val="en-US"/>
              </w:rPr>
              <w:t>Number of in-class academic hours</w:t>
            </w:r>
          </w:p>
        </w:tc>
        <w:tc>
          <w:tcPr>
            <w:tcW w:w="6344" w:type="dxa"/>
          </w:tcPr>
          <w:p w:rsidR="00DA0E4A" w:rsidRPr="00DA0E4A" w:rsidRDefault="00DA0E4A" w:rsidP="00DA0E4A">
            <w:pPr>
              <w:spacing w:after="0"/>
              <w:rPr>
                <w:rFonts w:ascii="Times New Roman" w:hAnsi="Times New Roman" w:cs="Times New Roman"/>
                <w:sz w:val="28"/>
                <w:szCs w:val="28"/>
                <w:lang w:val="en-US"/>
              </w:rPr>
            </w:pPr>
            <w:r w:rsidRPr="00DA0E4A">
              <w:rPr>
                <w:rFonts w:ascii="Times New Roman" w:hAnsi="Times New Roman" w:cs="Times New Roman"/>
                <w:sz w:val="28"/>
                <w:szCs w:val="28"/>
                <w:lang w:val="en-US"/>
              </w:rPr>
              <w:t>32</w:t>
            </w:r>
          </w:p>
        </w:tc>
      </w:tr>
      <w:tr w:rsidR="00DA0E4A" w:rsidRPr="00DA0E4A" w:rsidTr="008A0AEC">
        <w:tc>
          <w:tcPr>
            <w:tcW w:w="3227" w:type="dxa"/>
            <w:vMerge w:val="restart"/>
          </w:tcPr>
          <w:p w:rsidR="00DA0E4A" w:rsidRPr="00DA0E4A" w:rsidRDefault="00DA0E4A" w:rsidP="00DA0E4A">
            <w:pPr>
              <w:spacing w:after="0"/>
              <w:rPr>
                <w:rFonts w:ascii="Times New Roman" w:hAnsi="Times New Roman" w:cs="Times New Roman"/>
                <w:b/>
                <w:sz w:val="28"/>
                <w:szCs w:val="28"/>
                <w:lang w:val="en-US"/>
              </w:rPr>
            </w:pPr>
            <w:r w:rsidRPr="00DA0E4A">
              <w:rPr>
                <w:rFonts w:ascii="Times New Roman" w:hAnsi="Times New Roman" w:cs="Times New Roman"/>
                <w:b/>
                <w:sz w:val="28"/>
                <w:szCs w:val="28"/>
                <w:lang w:val="en-US"/>
              </w:rPr>
              <w:t>Lectures</w:t>
            </w:r>
          </w:p>
          <w:p w:rsidR="00DA0E4A" w:rsidRPr="00DA0E4A" w:rsidRDefault="00DA0E4A" w:rsidP="00DA0E4A">
            <w:pPr>
              <w:spacing w:after="0"/>
              <w:rPr>
                <w:rFonts w:ascii="Times New Roman" w:hAnsi="Times New Roman" w:cs="Times New Roman"/>
                <w:b/>
                <w:sz w:val="28"/>
                <w:szCs w:val="28"/>
                <w:lang w:val="en-US"/>
              </w:rPr>
            </w:pPr>
            <w:r w:rsidRPr="00DA0E4A">
              <w:rPr>
                <w:rFonts w:ascii="Times New Roman" w:hAnsi="Times New Roman" w:cs="Times New Roman"/>
                <w:b/>
                <w:sz w:val="28"/>
                <w:szCs w:val="28"/>
                <w:lang w:val="en-US"/>
              </w:rPr>
              <w:t>Seminars</w:t>
            </w:r>
          </w:p>
          <w:p w:rsidR="00DA0E4A" w:rsidRPr="00DA0E4A" w:rsidRDefault="00DA0E4A" w:rsidP="00DA0E4A">
            <w:pPr>
              <w:spacing w:after="0"/>
              <w:rPr>
                <w:rFonts w:ascii="Times New Roman" w:hAnsi="Times New Roman" w:cs="Times New Roman"/>
                <w:b/>
                <w:sz w:val="28"/>
                <w:szCs w:val="28"/>
                <w:lang w:val="en-US"/>
              </w:rPr>
            </w:pPr>
            <w:r w:rsidRPr="00DA0E4A">
              <w:rPr>
                <w:rFonts w:ascii="Times New Roman" w:hAnsi="Times New Roman" w:cs="Times New Roman"/>
                <w:b/>
                <w:sz w:val="28"/>
                <w:szCs w:val="28"/>
                <w:lang w:val="en-US"/>
              </w:rPr>
              <w:t>Practical classes</w:t>
            </w:r>
          </w:p>
          <w:p w:rsidR="00DA0E4A" w:rsidRPr="00DA0E4A" w:rsidRDefault="00DA0E4A" w:rsidP="00DA0E4A">
            <w:pPr>
              <w:spacing w:after="0"/>
              <w:rPr>
                <w:rFonts w:ascii="Times New Roman" w:hAnsi="Times New Roman" w:cs="Times New Roman"/>
                <w:b/>
                <w:sz w:val="28"/>
                <w:szCs w:val="28"/>
                <w:lang w:val="en-US"/>
              </w:rPr>
            </w:pPr>
            <w:r w:rsidRPr="00DA0E4A">
              <w:rPr>
                <w:rFonts w:ascii="Times New Roman" w:hAnsi="Times New Roman" w:cs="Times New Roman"/>
                <w:b/>
                <w:sz w:val="28"/>
                <w:szCs w:val="28"/>
                <w:lang w:val="en-US"/>
              </w:rPr>
              <w:t>Laboratory classes</w:t>
            </w:r>
          </w:p>
        </w:tc>
        <w:tc>
          <w:tcPr>
            <w:tcW w:w="6344" w:type="dxa"/>
          </w:tcPr>
          <w:p w:rsidR="00DA0E4A" w:rsidRPr="00DA0E4A" w:rsidRDefault="00DA0E4A" w:rsidP="00DA0E4A">
            <w:pPr>
              <w:spacing w:after="0"/>
              <w:rPr>
                <w:rFonts w:ascii="Times New Roman" w:hAnsi="Times New Roman" w:cs="Times New Roman"/>
                <w:sz w:val="28"/>
                <w:szCs w:val="28"/>
              </w:rPr>
            </w:pPr>
            <w:r w:rsidRPr="00DA0E4A">
              <w:rPr>
                <w:rFonts w:ascii="Times New Roman" w:hAnsi="Times New Roman" w:cs="Times New Roman"/>
                <w:sz w:val="28"/>
                <w:szCs w:val="28"/>
              </w:rPr>
              <w:t>18</w:t>
            </w:r>
          </w:p>
        </w:tc>
      </w:tr>
      <w:tr w:rsidR="00DA0E4A" w:rsidRPr="00DA0E4A" w:rsidTr="008A0AEC">
        <w:tc>
          <w:tcPr>
            <w:tcW w:w="3227" w:type="dxa"/>
            <w:vMerge/>
          </w:tcPr>
          <w:p w:rsidR="00DA0E4A" w:rsidRPr="00DA0E4A" w:rsidRDefault="00DA0E4A" w:rsidP="00DA0E4A">
            <w:pPr>
              <w:spacing w:after="0"/>
              <w:rPr>
                <w:rFonts w:ascii="Times New Roman" w:hAnsi="Times New Roman" w:cs="Times New Roman"/>
                <w:b/>
                <w:sz w:val="28"/>
                <w:szCs w:val="28"/>
              </w:rPr>
            </w:pPr>
          </w:p>
        </w:tc>
        <w:tc>
          <w:tcPr>
            <w:tcW w:w="6344" w:type="dxa"/>
          </w:tcPr>
          <w:p w:rsidR="00DA0E4A" w:rsidRPr="00DA0E4A" w:rsidRDefault="00DA0E4A" w:rsidP="00DA0E4A">
            <w:pPr>
              <w:spacing w:after="0"/>
              <w:rPr>
                <w:rFonts w:ascii="Times New Roman" w:hAnsi="Times New Roman" w:cs="Times New Roman"/>
                <w:sz w:val="28"/>
                <w:szCs w:val="28"/>
              </w:rPr>
            </w:pPr>
            <w:r w:rsidRPr="00DA0E4A">
              <w:rPr>
                <w:rFonts w:ascii="Times New Roman" w:hAnsi="Times New Roman" w:cs="Times New Roman"/>
                <w:sz w:val="28"/>
                <w:szCs w:val="28"/>
              </w:rPr>
              <w:t>14</w:t>
            </w:r>
          </w:p>
        </w:tc>
      </w:tr>
      <w:tr w:rsidR="00DA0E4A" w:rsidRPr="00DA0E4A" w:rsidTr="008A0AEC">
        <w:tc>
          <w:tcPr>
            <w:tcW w:w="3227" w:type="dxa"/>
            <w:vMerge/>
          </w:tcPr>
          <w:p w:rsidR="00DA0E4A" w:rsidRPr="00DA0E4A" w:rsidRDefault="00DA0E4A" w:rsidP="00DA0E4A">
            <w:pPr>
              <w:spacing w:after="0"/>
              <w:rPr>
                <w:rFonts w:ascii="Times New Roman" w:hAnsi="Times New Roman" w:cs="Times New Roman"/>
                <w:b/>
                <w:sz w:val="28"/>
                <w:szCs w:val="28"/>
              </w:rPr>
            </w:pPr>
          </w:p>
        </w:tc>
        <w:tc>
          <w:tcPr>
            <w:tcW w:w="6344" w:type="dxa"/>
          </w:tcPr>
          <w:p w:rsidR="00DA0E4A" w:rsidRPr="00DA0E4A" w:rsidRDefault="00DA0E4A" w:rsidP="00DA0E4A">
            <w:pPr>
              <w:spacing w:after="0"/>
              <w:rPr>
                <w:rFonts w:ascii="Times New Roman" w:hAnsi="Times New Roman" w:cs="Times New Roman"/>
                <w:sz w:val="28"/>
                <w:szCs w:val="28"/>
              </w:rPr>
            </w:pPr>
            <w:r w:rsidRPr="00DA0E4A">
              <w:rPr>
                <w:rFonts w:ascii="Times New Roman" w:hAnsi="Times New Roman" w:cs="Times New Roman"/>
                <w:sz w:val="28"/>
                <w:szCs w:val="28"/>
              </w:rPr>
              <w:t>-</w:t>
            </w:r>
          </w:p>
        </w:tc>
      </w:tr>
      <w:tr w:rsidR="00DA0E4A" w:rsidRPr="00DA0E4A" w:rsidTr="008A0AEC">
        <w:tc>
          <w:tcPr>
            <w:tcW w:w="3227" w:type="dxa"/>
            <w:vMerge/>
          </w:tcPr>
          <w:p w:rsidR="00DA0E4A" w:rsidRPr="00DA0E4A" w:rsidRDefault="00DA0E4A" w:rsidP="00DA0E4A">
            <w:pPr>
              <w:spacing w:after="0"/>
              <w:rPr>
                <w:rFonts w:ascii="Times New Roman" w:hAnsi="Times New Roman" w:cs="Times New Roman"/>
                <w:b/>
                <w:sz w:val="28"/>
                <w:szCs w:val="28"/>
              </w:rPr>
            </w:pPr>
          </w:p>
        </w:tc>
        <w:tc>
          <w:tcPr>
            <w:tcW w:w="6344" w:type="dxa"/>
          </w:tcPr>
          <w:p w:rsidR="00DA0E4A" w:rsidRPr="00DA0E4A" w:rsidRDefault="00DA0E4A" w:rsidP="00DA0E4A">
            <w:pPr>
              <w:spacing w:after="0"/>
              <w:rPr>
                <w:rFonts w:ascii="Times New Roman" w:hAnsi="Times New Roman" w:cs="Times New Roman"/>
                <w:sz w:val="28"/>
                <w:szCs w:val="28"/>
              </w:rPr>
            </w:pPr>
            <w:r w:rsidRPr="00DA0E4A">
              <w:rPr>
                <w:rFonts w:ascii="Times New Roman" w:hAnsi="Times New Roman" w:cs="Times New Roman"/>
                <w:sz w:val="28"/>
                <w:szCs w:val="28"/>
              </w:rPr>
              <w:t>-</w:t>
            </w:r>
          </w:p>
        </w:tc>
      </w:tr>
      <w:tr w:rsidR="00DA0E4A" w:rsidRPr="00DA0E4A" w:rsidTr="008A0AEC">
        <w:tc>
          <w:tcPr>
            <w:tcW w:w="3227" w:type="dxa"/>
          </w:tcPr>
          <w:p w:rsidR="00DA0E4A" w:rsidRPr="00DA0E4A" w:rsidRDefault="00C7702D" w:rsidP="00DA0E4A">
            <w:pPr>
              <w:spacing w:after="0"/>
              <w:rPr>
                <w:rFonts w:ascii="Times New Roman" w:hAnsi="Times New Roman" w:cs="Times New Roman"/>
                <w:b/>
                <w:sz w:val="28"/>
                <w:szCs w:val="28"/>
                <w:lang w:val="en-US"/>
              </w:rPr>
            </w:pPr>
            <w:r>
              <w:rPr>
                <w:rFonts w:ascii="Times New Roman" w:hAnsi="Times New Roman" w:cs="Times New Roman"/>
                <w:b/>
                <w:sz w:val="28"/>
                <w:szCs w:val="28"/>
                <w:lang w:val="en-US"/>
              </w:rPr>
              <w:t>F</w:t>
            </w:r>
            <w:r w:rsidR="00DA0E4A" w:rsidRPr="00DA0E4A">
              <w:rPr>
                <w:rFonts w:ascii="Times New Roman" w:hAnsi="Times New Roman" w:cs="Times New Roman"/>
                <w:b/>
                <w:sz w:val="28"/>
                <w:szCs w:val="28"/>
                <w:lang w:val="en-US"/>
              </w:rPr>
              <w:t xml:space="preserve">orm of the </w:t>
            </w:r>
            <w:r w:rsidR="008F3D11">
              <w:rPr>
                <w:rFonts w:ascii="Times New Roman" w:hAnsi="Times New Roman" w:cs="Times New Roman"/>
                <w:b/>
                <w:sz w:val="28"/>
                <w:szCs w:val="28"/>
                <w:lang w:val="en-US"/>
              </w:rPr>
              <w:t xml:space="preserve">intermediate </w:t>
            </w:r>
            <w:r w:rsidR="00DA0E4A" w:rsidRPr="00DA0E4A">
              <w:rPr>
                <w:rFonts w:ascii="Times New Roman" w:hAnsi="Times New Roman" w:cs="Times New Roman"/>
                <w:b/>
                <w:sz w:val="28"/>
                <w:szCs w:val="28"/>
                <w:lang w:val="en-US"/>
              </w:rPr>
              <w:t>a</w:t>
            </w:r>
            <w:r w:rsidR="00F225DA">
              <w:rPr>
                <w:rFonts w:ascii="Times New Roman" w:hAnsi="Times New Roman" w:cs="Times New Roman"/>
                <w:b/>
                <w:sz w:val="28"/>
                <w:szCs w:val="28"/>
                <w:lang w:val="en-US"/>
              </w:rPr>
              <w:t xml:space="preserve">ssessment </w:t>
            </w:r>
            <w:r w:rsidR="00F225DA" w:rsidRPr="0076211D">
              <w:rPr>
                <w:rFonts w:ascii="Times New Roman" w:hAnsi="Times New Roman" w:cs="Times New Roman"/>
                <w:b/>
                <w:i/>
                <w:sz w:val="28"/>
                <w:szCs w:val="28"/>
                <w:lang w:val="en-US"/>
              </w:rPr>
              <w:t>(credit / grad</w:t>
            </w:r>
            <w:r w:rsidR="00DA0E4A" w:rsidRPr="0076211D">
              <w:rPr>
                <w:rFonts w:ascii="Times New Roman" w:hAnsi="Times New Roman" w:cs="Times New Roman"/>
                <w:b/>
                <w:i/>
                <w:sz w:val="28"/>
                <w:szCs w:val="28"/>
                <w:lang w:val="en-US"/>
              </w:rPr>
              <w:t>ed credit / exam)</w:t>
            </w:r>
          </w:p>
        </w:tc>
        <w:tc>
          <w:tcPr>
            <w:tcW w:w="6344" w:type="dxa"/>
          </w:tcPr>
          <w:p w:rsidR="00DA0E4A" w:rsidRPr="00DA0E4A" w:rsidRDefault="00DA0E4A" w:rsidP="00DA0E4A">
            <w:pPr>
              <w:spacing w:after="0"/>
              <w:rPr>
                <w:rFonts w:ascii="Times New Roman" w:hAnsi="Times New Roman" w:cs="Times New Roman"/>
                <w:sz w:val="28"/>
                <w:szCs w:val="28"/>
                <w:lang w:val="en-US"/>
              </w:rPr>
            </w:pPr>
            <w:r w:rsidRPr="00DA0E4A">
              <w:rPr>
                <w:rFonts w:ascii="Times New Roman" w:hAnsi="Times New Roman" w:cs="Times New Roman"/>
                <w:sz w:val="28"/>
                <w:szCs w:val="28"/>
                <w:lang w:val="en-US"/>
              </w:rPr>
              <w:t>exam</w:t>
            </w:r>
          </w:p>
        </w:tc>
      </w:tr>
      <w:tr w:rsidR="00DA0E4A" w:rsidRPr="00DA0E4A" w:rsidTr="008A0AEC">
        <w:tc>
          <w:tcPr>
            <w:tcW w:w="3227" w:type="dxa"/>
          </w:tcPr>
          <w:p w:rsidR="00DA0E4A" w:rsidRPr="00C7702D" w:rsidRDefault="00C7702D" w:rsidP="00DA0E4A">
            <w:pPr>
              <w:spacing w:after="0"/>
              <w:rPr>
                <w:rFonts w:ascii="Times New Roman" w:hAnsi="Times New Roman" w:cs="Times New Roman"/>
                <w:b/>
                <w:sz w:val="28"/>
                <w:szCs w:val="28"/>
                <w:lang w:val="en-US"/>
              </w:rPr>
            </w:pPr>
            <w:proofErr w:type="spellStart"/>
            <w:r>
              <w:rPr>
                <w:rFonts w:ascii="Times New Roman" w:hAnsi="Times New Roman" w:cs="Times New Roman"/>
                <w:b/>
                <w:sz w:val="28"/>
                <w:szCs w:val="28"/>
              </w:rPr>
              <w:t>Number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credit</w:t>
            </w:r>
            <w:proofErr w:type="spellEnd"/>
            <w:r w:rsidR="00F225DA">
              <w:rPr>
                <w:rFonts w:ascii="Times New Roman" w:hAnsi="Times New Roman" w:cs="Times New Roman"/>
                <w:b/>
                <w:sz w:val="28"/>
                <w:szCs w:val="28"/>
                <w:lang w:val="en-US"/>
              </w:rPr>
              <w:t xml:space="preserve"> point</w:t>
            </w:r>
            <w:r>
              <w:rPr>
                <w:rFonts w:ascii="Times New Roman" w:hAnsi="Times New Roman" w:cs="Times New Roman"/>
                <w:b/>
                <w:sz w:val="28"/>
                <w:szCs w:val="28"/>
                <w:lang w:val="en-US"/>
              </w:rPr>
              <w:t>s</w:t>
            </w:r>
          </w:p>
        </w:tc>
        <w:tc>
          <w:tcPr>
            <w:tcW w:w="6344" w:type="dxa"/>
          </w:tcPr>
          <w:p w:rsidR="00DA0E4A" w:rsidRPr="00DA0E4A" w:rsidRDefault="00DA0E4A" w:rsidP="00DA0E4A">
            <w:pPr>
              <w:spacing w:after="0"/>
              <w:rPr>
                <w:rFonts w:ascii="Times New Roman" w:hAnsi="Times New Roman" w:cs="Times New Roman"/>
                <w:sz w:val="28"/>
                <w:szCs w:val="28"/>
                <w:lang w:val="en-US"/>
              </w:rPr>
            </w:pPr>
            <w:r w:rsidRPr="00DA0E4A">
              <w:rPr>
                <w:rFonts w:ascii="Times New Roman" w:hAnsi="Times New Roman" w:cs="Times New Roman"/>
                <w:sz w:val="28"/>
                <w:szCs w:val="28"/>
                <w:lang w:val="en-US"/>
              </w:rPr>
              <w:t>3</w:t>
            </w:r>
          </w:p>
        </w:tc>
      </w:tr>
      <w:tr w:rsidR="00DA0E4A" w:rsidRPr="00E932C1" w:rsidTr="008A0AEC">
        <w:tc>
          <w:tcPr>
            <w:tcW w:w="3227" w:type="dxa"/>
          </w:tcPr>
          <w:p w:rsidR="00DA0E4A" w:rsidRPr="00DA0E4A" w:rsidRDefault="00C7702D" w:rsidP="00DA0E4A">
            <w:pPr>
              <w:spacing w:after="0"/>
              <w:rPr>
                <w:rFonts w:ascii="Times New Roman" w:hAnsi="Times New Roman" w:cs="Times New Roman"/>
                <w:b/>
                <w:sz w:val="28"/>
                <w:szCs w:val="28"/>
                <w:lang w:val="en-US"/>
              </w:rPr>
            </w:pPr>
            <w:r>
              <w:rPr>
                <w:rFonts w:ascii="Times New Roman" w:hAnsi="Times New Roman" w:cs="Times New Roman"/>
                <w:b/>
                <w:sz w:val="28"/>
                <w:szCs w:val="28"/>
                <w:lang w:val="en-US"/>
              </w:rPr>
              <w:t>C</w:t>
            </w:r>
            <w:r w:rsidR="00DA0E4A" w:rsidRPr="00DA0E4A">
              <w:rPr>
                <w:rFonts w:ascii="Times New Roman" w:hAnsi="Times New Roman" w:cs="Times New Roman"/>
                <w:b/>
                <w:sz w:val="28"/>
                <w:szCs w:val="28"/>
                <w:lang w:val="en-US"/>
              </w:rPr>
              <w:t>ompetencies</w:t>
            </w:r>
          </w:p>
        </w:tc>
        <w:tc>
          <w:tcPr>
            <w:tcW w:w="6344" w:type="dxa"/>
          </w:tcPr>
          <w:p w:rsidR="00DA0E4A" w:rsidRPr="00DA0E4A" w:rsidRDefault="00DA0E4A" w:rsidP="00DA0E4A">
            <w:pPr>
              <w:spacing w:after="0"/>
              <w:jc w:val="both"/>
              <w:rPr>
                <w:rFonts w:ascii="Times New Roman" w:hAnsi="Times New Roman" w:cs="Times New Roman"/>
                <w:sz w:val="28"/>
                <w:szCs w:val="28"/>
                <w:lang w:val="en-US"/>
              </w:rPr>
            </w:pPr>
            <w:r w:rsidRPr="00DA0E4A">
              <w:rPr>
                <w:rFonts w:ascii="Times New Roman" w:hAnsi="Times New Roman" w:cs="Times New Roman"/>
                <w:sz w:val="28"/>
                <w:szCs w:val="28"/>
                <w:lang w:val="en-US"/>
              </w:rPr>
              <w:t>Apply the methods of scientific knowledge in research activities, generate and implement innovative ideas. To produce scientific texts with semantic and practical value and to carry out public speeches on their basis in scientific forms of various levels. To analyze the mechanisms and results of the interaction of modern socio-cultural processes and linguistic structures.</w:t>
            </w:r>
          </w:p>
        </w:tc>
      </w:tr>
      <w:tr w:rsidR="00DA0E4A" w:rsidRPr="00E932C1" w:rsidTr="008A0AEC">
        <w:tc>
          <w:tcPr>
            <w:tcW w:w="9571" w:type="dxa"/>
            <w:gridSpan w:val="2"/>
          </w:tcPr>
          <w:p w:rsidR="00DA0E4A" w:rsidRPr="00DA0E4A" w:rsidRDefault="00DA0E4A" w:rsidP="00DA0E4A">
            <w:pPr>
              <w:spacing w:after="0"/>
              <w:jc w:val="center"/>
              <w:rPr>
                <w:rFonts w:ascii="Times New Roman" w:hAnsi="Times New Roman" w:cs="Times New Roman"/>
                <w:b/>
                <w:sz w:val="28"/>
                <w:szCs w:val="28"/>
                <w:lang w:val="en-US"/>
              </w:rPr>
            </w:pPr>
            <w:r w:rsidRPr="00DA0E4A">
              <w:rPr>
                <w:rFonts w:ascii="Times New Roman" w:hAnsi="Times New Roman" w:cs="Times New Roman"/>
                <w:b/>
                <w:sz w:val="28"/>
                <w:szCs w:val="28"/>
                <w:lang w:val="en-US"/>
              </w:rPr>
              <w:t>Summary of the academic discipline:</w:t>
            </w:r>
          </w:p>
          <w:p w:rsidR="00DA0E4A" w:rsidRPr="00DA0E4A" w:rsidRDefault="00DA0E4A" w:rsidP="00DA0E4A">
            <w:pPr>
              <w:shd w:val="clear" w:color="auto" w:fill="FFFFFF"/>
              <w:spacing w:after="0"/>
              <w:ind w:firstLine="703"/>
              <w:jc w:val="both"/>
              <w:outlineLvl w:val="0"/>
              <w:rPr>
                <w:rFonts w:ascii="Times New Roman" w:hAnsi="Times New Roman" w:cs="Times New Roman"/>
                <w:color w:val="000000"/>
                <w:sz w:val="28"/>
                <w:szCs w:val="28"/>
                <w:lang w:val="en-US"/>
              </w:rPr>
            </w:pPr>
            <w:r w:rsidRPr="00DA0E4A">
              <w:rPr>
                <w:rFonts w:ascii="Times New Roman" w:hAnsi="Times New Roman" w:cs="Times New Roman"/>
                <w:color w:val="000000"/>
                <w:sz w:val="28"/>
                <w:szCs w:val="28"/>
                <w:lang w:val="en-US"/>
              </w:rPr>
              <w:t>The structure of the academic discipline "Linguistics of the Discourse" has a systematic character and includes seven interrelated levels of consideration of the issues of studying the linguistics of the discourse. The broad scope of the material involves consideration of general theoretical issues – the history of the emergence and development of the theory of the discourse, the essence of the discourse analysis, virtual communication and computer-mediated discourse, and some others. Special attention is paid to the consideration of the interaction and development of discourses of various types from traditional to interactive.</w:t>
            </w:r>
          </w:p>
        </w:tc>
      </w:tr>
    </w:tbl>
    <w:p w:rsidR="00DA0E4A" w:rsidRPr="00DA0E4A" w:rsidRDefault="00DA0E4A" w:rsidP="00DA0E4A">
      <w:pPr>
        <w:tabs>
          <w:tab w:val="left" w:pos="3795"/>
        </w:tabs>
        <w:spacing w:after="0"/>
        <w:ind w:firstLine="708"/>
        <w:rPr>
          <w:rFonts w:ascii="Times New Roman" w:hAnsi="Times New Roman" w:cs="Times New Roman"/>
          <w:sz w:val="28"/>
          <w:szCs w:val="28"/>
          <w:lang w:val="en-US"/>
        </w:rPr>
      </w:pPr>
    </w:p>
    <w:sectPr w:rsidR="00DA0E4A" w:rsidRPr="00DA0E4A" w:rsidSect="00716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4A"/>
    <w:rsid w:val="0068654E"/>
    <w:rsid w:val="0076211D"/>
    <w:rsid w:val="008F3D11"/>
    <w:rsid w:val="00AA26F2"/>
    <w:rsid w:val="00B01A5E"/>
    <w:rsid w:val="00C7702D"/>
    <w:rsid w:val="00DA0E4A"/>
    <w:rsid w:val="00E932C1"/>
    <w:rsid w:val="00F22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4A"/>
    <w:pPr>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0E4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4A"/>
    <w:pPr>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0E4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2025-04-10T09:26:00Z</dcterms:created>
  <dcterms:modified xsi:type="dcterms:W3CDTF">2025-04-15T12:04:00Z</dcterms:modified>
</cp:coreProperties>
</file>