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98" w:rsidRPr="00CF6D98" w:rsidRDefault="00CF6D98" w:rsidP="00CF6D98">
      <w:pPr>
        <w:spacing w:after="0" w:line="240" w:lineRule="auto"/>
        <w:jc w:val="center"/>
        <w:rPr>
          <w:rFonts w:ascii="Times New Roman" w:hAnsi="Times New Roman" w:cs="Times New Roman"/>
          <w:b/>
          <w:sz w:val="28"/>
          <w:szCs w:val="28"/>
          <w:lang w:val="en-US"/>
        </w:rPr>
      </w:pPr>
      <w:r w:rsidRPr="00CF6D98">
        <w:rPr>
          <w:rFonts w:ascii="Times New Roman" w:hAnsi="Times New Roman" w:cs="Times New Roman"/>
          <w:b/>
          <w:sz w:val="28"/>
          <w:szCs w:val="28"/>
          <w:lang w:val="en-US"/>
        </w:rPr>
        <w:t>The name of the academic discipline:</w:t>
      </w:r>
    </w:p>
    <w:p w:rsidR="00CF6D98" w:rsidRPr="00CF6D98" w:rsidRDefault="00CF6D98" w:rsidP="00CF6D98">
      <w:pPr>
        <w:spacing w:after="0" w:line="240" w:lineRule="auto"/>
        <w:jc w:val="center"/>
        <w:rPr>
          <w:rFonts w:ascii="Times New Roman" w:hAnsi="Times New Roman" w:cs="Times New Roman"/>
          <w:b/>
          <w:sz w:val="28"/>
          <w:szCs w:val="28"/>
          <w:lang w:val="en-US"/>
        </w:rPr>
      </w:pPr>
      <w:r w:rsidRPr="00CF6D98">
        <w:rPr>
          <w:rFonts w:ascii="Times New Roman" w:hAnsi="Times New Roman" w:cs="Times New Roman"/>
          <w:b/>
          <w:sz w:val="28"/>
          <w:szCs w:val="28"/>
          <w:lang w:val="en-US"/>
        </w:rPr>
        <w:t>“</w:t>
      </w:r>
      <w:bookmarkStart w:id="0" w:name="_GoBack"/>
      <w:r w:rsidRPr="00B22D56">
        <w:rPr>
          <w:rFonts w:ascii="Times New Roman" w:eastAsia="Times New Roman" w:hAnsi="Times New Roman" w:cs="Times New Roman"/>
          <w:b/>
          <w:sz w:val="28"/>
          <w:szCs w:val="28"/>
          <w:lang w:val="en-US" w:eastAsia="ru-RU"/>
        </w:rPr>
        <w:t>Socio-economic development of the BSSR and the Republic of Belarus</w:t>
      </w:r>
      <w:bookmarkEnd w:id="0"/>
      <w:r w:rsidRPr="00CF6D98">
        <w:rPr>
          <w:rFonts w:ascii="Times New Roman" w:hAnsi="Times New Roman" w:cs="Times New Roman"/>
          <w:b/>
          <w:sz w:val="28"/>
          <w:szCs w:val="28"/>
          <w:lang w:val="en-US"/>
        </w:rPr>
        <w:t>”</w:t>
      </w:r>
    </w:p>
    <w:p w:rsidR="00CF6D98" w:rsidRPr="00CF6D98" w:rsidRDefault="00CF6D98" w:rsidP="00CF6D9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077"/>
        <w:gridCol w:w="5784"/>
      </w:tblGrid>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Style w:val="a4"/>
                <w:rFonts w:ascii="Times New Roman" w:hAnsi="Times New Roman" w:cs="Times New Roman"/>
                <w:color w:val="000000"/>
                <w:sz w:val="28"/>
                <w:szCs w:val="28"/>
                <w:shd w:val="clear" w:color="auto" w:fill="FFFFFF"/>
                <w:lang w:val="en-US"/>
              </w:rPr>
              <w:t>Specialty code and name</w:t>
            </w:r>
          </w:p>
        </w:tc>
        <w:tc>
          <w:tcPr>
            <w:tcW w:w="5784"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rPr>
                <w:rFonts w:ascii="Times New Roman" w:eastAsia="Times New Roman" w:hAnsi="Times New Roman" w:cs="Times New Roman"/>
                <w:sz w:val="28"/>
                <w:szCs w:val="28"/>
                <w:lang w:val="en-US"/>
              </w:rPr>
            </w:pPr>
            <w:r w:rsidRPr="00CF6D98">
              <w:rPr>
                <w:rFonts w:ascii="Times New Roman" w:hAnsi="Times New Roman" w:cs="Times New Roman"/>
                <w:bCs/>
                <w:color w:val="000000"/>
                <w:sz w:val="28"/>
                <w:szCs w:val="28"/>
              </w:rPr>
              <w:t>7</w:t>
            </w:r>
            <w:r w:rsidRPr="00CF6D98">
              <w:rPr>
                <w:rFonts w:ascii="Times New Roman" w:hAnsi="Times New Roman" w:cs="Times New Roman"/>
                <w:bCs/>
                <w:color w:val="000000"/>
                <w:sz w:val="28"/>
                <w:szCs w:val="28"/>
                <w:lang w:val="en-US"/>
              </w:rPr>
              <w:t>-0</w:t>
            </w:r>
            <w:r w:rsidRPr="00CF6D98">
              <w:rPr>
                <w:rFonts w:ascii="Times New Roman" w:hAnsi="Times New Roman" w:cs="Times New Roman"/>
                <w:bCs/>
                <w:color w:val="000000"/>
                <w:sz w:val="28"/>
                <w:szCs w:val="28"/>
              </w:rPr>
              <w:t>6</w:t>
            </w:r>
            <w:r w:rsidRPr="00CF6D98">
              <w:rPr>
                <w:rFonts w:ascii="Times New Roman" w:hAnsi="Times New Roman" w:cs="Times New Roman"/>
                <w:bCs/>
                <w:color w:val="000000"/>
                <w:sz w:val="28"/>
                <w:szCs w:val="28"/>
                <w:lang w:val="en-US"/>
              </w:rPr>
              <w:t>-0</w:t>
            </w:r>
            <w:r w:rsidRPr="00CF6D98">
              <w:rPr>
                <w:rFonts w:ascii="Times New Roman" w:hAnsi="Times New Roman" w:cs="Times New Roman"/>
                <w:bCs/>
                <w:color w:val="000000"/>
                <w:sz w:val="28"/>
                <w:szCs w:val="28"/>
              </w:rPr>
              <w:t>222</w:t>
            </w:r>
            <w:r w:rsidRPr="00CF6D98">
              <w:rPr>
                <w:rFonts w:ascii="Times New Roman" w:hAnsi="Times New Roman" w:cs="Times New Roman"/>
                <w:bCs/>
                <w:color w:val="000000"/>
                <w:sz w:val="28"/>
                <w:szCs w:val="28"/>
                <w:lang w:val="en-US"/>
              </w:rPr>
              <w:t>-0</w:t>
            </w:r>
            <w:r w:rsidRPr="00CF6D98">
              <w:rPr>
                <w:rFonts w:ascii="Times New Roman" w:hAnsi="Times New Roman" w:cs="Times New Roman"/>
                <w:bCs/>
                <w:color w:val="000000"/>
                <w:sz w:val="28"/>
                <w:szCs w:val="28"/>
              </w:rPr>
              <w:t>1</w:t>
            </w:r>
            <w:r w:rsidRPr="00CF6D98">
              <w:rPr>
                <w:rFonts w:ascii="Times New Roman" w:hAnsi="Times New Roman" w:cs="Times New Roman"/>
                <w:bCs/>
                <w:color w:val="000000"/>
                <w:sz w:val="28"/>
                <w:szCs w:val="28"/>
                <w:lang w:val="en-US"/>
              </w:rPr>
              <w:t xml:space="preserve"> History</w:t>
            </w:r>
          </w:p>
        </w:tc>
      </w:tr>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Year of study</w:t>
            </w: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w:t>
            </w:r>
          </w:p>
        </w:tc>
      </w:tr>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Semester of study</w:t>
            </w: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3</w:t>
            </w:r>
          </w:p>
        </w:tc>
      </w:tr>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Number of in-class academic hours:</w:t>
            </w: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50</w:t>
            </w:r>
          </w:p>
        </w:tc>
      </w:tr>
      <w:tr w:rsidR="00CF6D98" w:rsidRPr="00CF6D98" w:rsidTr="00CF6D98">
        <w:tc>
          <w:tcPr>
            <w:tcW w:w="3077" w:type="dxa"/>
            <w:vMerge w:val="restart"/>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spacing w:after="0" w:line="240" w:lineRule="auto"/>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Lectures</w:t>
            </w:r>
          </w:p>
          <w:p w:rsidR="00CF6D98" w:rsidRPr="00CF6D98" w:rsidRDefault="00CF6D98" w:rsidP="00CF6D98">
            <w:pPr>
              <w:spacing w:after="0" w:line="240" w:lineRule="auto"/>
              <w:rPr>
                <w:rFonts w:ascii="Times New Roman" w:hAnsi="Times New Roman" w:cs="Times New Roman"/>
                <w:b/>
                <w:sz w:val="28"/>
                <w:szCs w:val="28"/>
                <w:lang w:val="en-US"/>
              </w:rPr>
            </w:pPr>
            <w:r w:rsidRPr="00CF6D98">
              <w:rPr>
                <w:rFonts w:ascii="Times New Roman" w:hAnsi="Times New Roman" w:cs="Times New Roman"/>
                <w:b/>
                <w:sz w:val="28"/>
                <w:szCs w:val="28"/>
                <w:lang w:val="en-US"/>
              </w:rPr>
              <w:t xml:space="preserve">Seminar classes </w:t>
            </w:r>
          </w:p>
          <w:p w:rsidR="00CF6D98" w:rsidRPr="00CF6D98" w:rsidRDefault="00CF6D98" w:rsidP="00CF6D98">
            <w:pPr>
              <w:spacing w:after="0" w:line="240" w:lineRule="auto"/>
              <w:rPr>
                <w:rFonts w:ascii="Times New Roman" w:eastAsia="Calibri" w:hAnsi="Times New Roman" w:cs="Times New Roman"/>
                <w:b/>
                <w:sz w:val="28"/>
                <w:szCs w:val="28"/>
                <w:lang w:val="en-US"/>
              </w:rPr>
            </w:pPr>
            <w:r w:rsidRPr="00CF6D98">
              <w:rPr>
                <w:rFonts w:ascii="Times New Roman" w:hAnsi="Times New Roman" w:cs="Times New Roman"/>
                <w:b/>
                <w:sz w:val="28"/>
                <w:szCs w:val="28"/>
                <w:lang w:val="en-US"/>
              </w:rPr>
              <w:t>Practical classes</w:t>
            </w:r>
          </w:p>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Laboratory classes</w:t>
            </w: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26</w:t>
            </w:r>
          </w:p>
        </w:tc>
      </w:tr>
      <w:tr w:rsidR="00CF6D98" w:rsidRPr="00CF6D98" w:rsidTr="00CF6D98">
        <w:tc>
          <w:tcPr>
            <w:tcW w:w="0" w:type="auto"/>
            <w:vMerge/>
            <w:tcBorders>
              <w:top w:val="single" w:sz="4" w:space="0" w:color="auto"/>
              <w:left w:val="single" w:sz="4" w:space="0" w:color="auto"/>
              <w:bottom w:val="single" w:sz="4" w:space="0" w:color="auto"/>
              <w:right w:val="single" w:sz="4" w:space="0" w:color="auto"/>
            </w:tcBorders>
            <w:vAlign w:val="center"/>
            <w:hideMark/>
          </w:tcPr>
          <w:p w:rsidR="00CF6D98" w:rsidRPr="00CF6D98" w:rsidRDefault="00CF6D98" w:rsidP="00CF6D98">
            <w:pPr>
              <w:spacing w:after="0" w:line="240" w:lineRule="auto"/>
              <w:rPr>
                <w:rFonts w:ascii="Times New Roman" w:eastAsia="Times New Roman" w:hAnsi="Times New Roman" w:cs="Times New Roman"/>
                <w:b/>
                <w:sz w:val="28"/>
                <w:szCs w:val="28"/>
                <w:lang w:val="en-US"/>
              </w:rPr>
            </w:pP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24</w:t>
            </w:r>
          </w:p>
        </w:tc>
      </w:tr>
      <w:tr w:rsidR="00CF6D98" w:rsidRPr="00CF6D98" w:rsidTr="00CF6D98">
        <w:tc>
          <w:tcPr>
            <w:tcW w:w="0" w:type="auto"/>
            <w:vMerge/>
            <w:tcBorders>
              <w:top w:val="single" w:sz="4" w:space="0" w:color="auto"/>
              <w:left w:val="single" w:sz="4" w:space="0" w:color="auto"/>
              <w:bottom w:val="single" w:sz="4" w:space="0" w:color="auto"/>
              <w:right w:val="single" w:sz="4" w:space="0" w:color="auto"/>
            </w:tcBorders>
            <w:vAlign w:val="center"/>
            <w:hideMark/>
          </w:tcPr>
          <w:p w:rsidR="00CF6D98" w:rsidRPr="00CF6D98" w:rsidRDefault="00CF6D98" w:rsidP="00CF6D98">
            <w:pPr>
              <w:spacing w:after="0" w:line="240" w:lineRule="auto"/>
              <w:rPr>
                <w:rFonts w:ascii="Times New Roman" w:eastAsia="Times New Roman" w:hAnsi="Times New Roman" w:cs="Times New Roman"/>
                <w:b/>
                <w:sz w:val="28"/>
                <w:szCs w:val="28"/>
                <w:lang w:val="en-US"/>
              </w:rPr>
            </w:pP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CF6D98" w:rsidRPr="00CF6D98" w:rsidTr="00CF6D98">
        <w:tc>
          <w:tcPr>
            <w:tcW w:w="0" w:type="auto"/>
            <w:vMerge/>
            <w:tcBorders>
              <w:top w:val="single" w:sz="4" w:space="0" w:color="auto"/>
              <w:left w:val="single" w:sz="4" w:space="0" w:color="auto"/>
              <w:bottom w:val="single" w:sz="4" w:space="0" w:color="auto"/>
              <w:right w:val="single" w:sz="4" w:space="0" w:color="auto"/>
            </w:tcBorders>
            <w:vAlign w:val="center"/>
            <w:hideMark/>
          </w:tcPr>
          <w:p w:rsidR="00CF6D98" w:rsidRPr="00CF6D98" w:rsidRDefault="00CF6D98" w:rsidP="00CF6D98">
            <w:pPr>
              <w:spacing w:after="0" w:line="240" w:lineRule="auto"/>
              <w:rPr>
                <w:rFonts w:ascii="Times New Roman" w:eastAsia="Times New Roman" w:hAnsi="Times New Roman" w:cs="Times New Roman"/>
                <w:b/>
                <w:sz w:val="28"/>
                <w:szCs w:val="28"/>
                <w:lang w:val="en-US"/>
              </w:rPr>
            </w:pPr>
          </w:p>
        </w:tc>
        <w:tc>
          <w:tcPr>
            <w:tcW w:w="5784" w:type="dxa"/>
            <w:tcBorders>
              <w:top w:val="single" w:sz="4" w:space="0" w:color="auto"/>
              <w:left w:val="single" w:sz="4" w:space="0" w:color="auto"/>
              <w:bottom w:val="single" w:sz="4" w:space="0" w:color="auto"/>
              <w:right w:val="single" w:sz="4" w:space="0" w:color="auto"/>
            </w:tcBorders>
            <w:hideMark/>
          </w:tcPr>
          <w:p w:rsidR="00CF6D98" w:rsidRPr="00196439" w:rsidRDefault="00CF6D98" w:rsidP="002B597E">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Form of the current assessment (</w:t>
            </w:r>
            <w:r w:rsidRPr="00CF6D98">
              <w:rPr>
                <w:rFonts w:ascii="Times New Roman" w:hAnsi="Times New Roman" w:cs="Times New Roman"/>
                <w:b/>
                <w:i/>
                <w:sz w:val="28"/>
                <w:szCs w:val="28"/>
                <w:lang w:val="en-US"/>
              </w:rPr>
              <w:t>credit/ graded credit /exam</w:t>
            </w:r>
            <w:r w:rsidRPr="00CF6D98">
              <w:rPr>
                <w:rFonts w:ascii="Times New Roman" w:hAnsi="Times New Roman" w:cs="Times New Roman"/>
                <w:b/>
                <w:sz w:val="28"/>
                <w:szCs w:val="28"/>
                <w:lang w:val="en-US"/>
              </w:rPr>
              <w:t>)</w:t>
            </w:r>
          </w:p>
        </w:tc>
        <w:tc>
          <w:tcPr>
            <w:tcW w:w="5784"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spacing w:after="0" w:line="240" w:lineRule="auto"/>
              <w:rPr>
                <w:rFonts w:ascii="Times New Roman" w:eastAsia="Times New Roman" w:hAnsi="Times New Roman" w:cs="Times New Roman"/>
                <w:sz w:val="28"/>
                <w:szCs w:val="28"/>
                <w:lang w:val="en-US"/>
              </w:rPr>
            </w:pPr>
            <w:r w:rsidRPr="00CF6D98">
              <w:rPr>
                <w:rFonts w:ascii="Times New Roman" w:hAnsi="Times New Roman" w:cs="Times New Roman"/>
                <w:sz w:val="28"/>
                <w:szCs w:val="28"/>
                <w:lang w:val="en-US"/>
              </w:rPr>
              <w:t>exam</w:t>
            </w:r>
          </w:p>
        </w:tc>
      </w:tr>
      <w:tr w:rsidR="00CF6D98" w:rsidRPr="00CF6D98"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Number of credit points</w:t>
            </w:r>
          </w:p>
        </w:tc>
        <w:tc>
          <w:tcPr>
            <w:tcW w:w="5784"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r>
      <w:tr w:rsidR="00CF6D98" w:rsidRPr="00B22D56" w:rsidTr="00CF6D98">
        <w:tc>
          <w:tcPr>
            <w:tcW w:w="3077"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Competences</w:t>
            </w:r>
          </w:p>
        </w:tc>
        <w:tc>
          <w:tcPr>
            <w:tcW w:w="5784" w:type="dxa"/>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spacing w:after="0" w:line="240" w:lineRule="auto"/>
              <w:jc w:val="both"/>
              <w:rPr>
                <w:rFonts w:ascii="Times New Roman" w:hAnsi="Times New Roman" w:cs="Times New Roman"/>
                <w:sz w:val="28"/>
                <w:szCs w:val="28"/>
                <w:lang w:val="be-BY"/>
              </w:rPr>
            </w:pPr>
            <w:r w:rsidRPr="00CF6D98">
              <w:rPr>
                <w:rFonts w:ascii="Times New Roman" w:hAnsi="Times New Roman" w:cs="Times New Roman"/>
                <w:sz w:val="28"/>
                <w:szCs w:val="28"/>
                <w:lang w:val="be-BY"/>
              </w:rPr>
              <w:t>To analyze key political and economic processes of the studied countries and regions in historical retrospect; to systematize and classify social and ethnocultural processes, to explain their influence on the historical development of society; to analyze the process of formation of Belarusian statehood, formalization and strengthening of the sovereignty of the Republic of Belarus; to interpret socially significant processes and problems on the territory of Belarus in different periods of its historical development.</w:t>
            </w:r>
          </w:p>
        </w:tc>
      </w:tr>
      <w:tr w:rsidR="00CF6D98" w:rsidRPr="00B22D56" w:rsidTr="00CF6D98">
        <w:tc>
          <w:tcPr>
            <w:tcW w:w="8861" w:type="dxa"/>
            <w:gridSpan w:val="2"/>
            <w:tcBorders>
              <w:top w:val="single" w:sz="4" w:space="0" w:color="auto"/>
              <w:left w:val="single" w:sz="4" w:space="0" w:color="auto"/>
              <w:bottom w:val="single" w:sz="4" w:space="0" w:color="auto"/>
              <w:right w:val="single" w:sz="4" w:space="0" w:color="auto"/>
            </w:tcBorders>
            <w:hideMark/>
          </w:tcPr>
          <w:p w:rsidR="00CF6D98" w:rsidRPr="00CF6D98" w:rsidRDefault="00CF6D98" w:rsidP="00CF6D98">
            <w:pPr>
              <w:spacing w:after="0" w:line="240" w:lineRule="auto"/>
              <w:jc w:val="center"/>
              <w:rPr>
                <w:rFonts w:ascii="Times New Roman" w:eastAsia="Times New Roman" w:hAnsi="Times New Roman" w:cs="Times New Roman"/>
                <w:b/>
                <w:sz w:val="28"/>
                <w:szCs w:val="28"/>
                <w:lang w:val="en-US"/>
              </w:rPr>
            </w:pPr>
            <w:r w:rsidRPr="00CF6D98">
              <w:rPr>
                <w:rFonts w:ascii="Times New Roman" w:hAnsi="Times New Roman" w:cs="Times New Roman"/>
                <w:b/>
                <w:sz w:val="28"/>
                <w:szCs w:val="28"/>
                <w:lang w:val="en-US"/>
              </w:rPr>
              <w:t>Summary of the academic discipline:</w:t>
            </w:r>
          </w:p>
          <w:p w:rsidR="00CF6D98" w:rsidRPr="00CF6D98" w:rsidRDefault="00CF6D98" w:rsidP="00CF6D98">
            <w:pPr>
              <w:spacing w:after="0" w:line="240" w:lineRule="auto"/>
              <w:ind w:firstLine="714"/>
              <w:jc w:val="both"/>
              <w:rPr>
                <w:rFonts w:ascii="Times New Roman" w:eastAsia="Times New Roman" w:hAnsi="Times New Roman" w:cs="Times New Roman"/>
                <w:color w:val="3C4043"/>
                <w:sz w:val="28"/>
                <w:szCs w:val="28"/>
                <w:lang w:val="en-US"/>
              </w:rPr>
            </w:pPr>
            <w:r w:rsidRPr="00B22D56">
              <w:rPr>
                <w:rFonts w:ascii="Times New Roman" w:eastAsia="Calibri" w:hAnsi="Times New Roman" w:cs="Times New Roman"/>
                <w:sz w:val="28"/>
                <w:szCs w:val="28"/>
                <w:lang w:val="en-US"/>
              </w:rPr>
              <w:t>National economy of Belarus during the New Economic Policy. Socialist modernization of the economy in the BSSR. Economy of Western Belarus in the interwar period. Economy of Belarus during the Great Patriotic War. Restoration and development of the economy of the BSSR after the end of the Great Patriotic War. Economic development of Belarus in the second half of the 50s - first half of the 70s of the twentieth century. Economy of Belarus in the second half of the 70s-80s of the twentieth century. Economy of Belarus at the stage of state independence (990s of the twentieth century - early XXI century).</w:t>
            </w:r>
          </w:p>
        </w:tc>
      </w:tr>
    </w:tbl>
    <w:p w:rsidR="00067425" w:rsidRPr="00CF6D98" w:rsidRDefault="00067425" w:rsidP="00CF6D98">
      <w:pPr>
        <w:spacing w:after="0" w:line="240" w:lineRule="auto"/>
        <w:rPr>
          <w:rFonts w:ascii="Times New Roman" w:hAnsi="Times New Roman" w:cs="Times New Roman"/>
          <w:sz w:val="28"/>
          <w:szCs w:val="28"/>
          <w:lang w:val="en-US"/>
        </w:rPr>
      </w:pPr>
    </w:p>
    <w:sectPr w:rsidR="00067425" w:rsidRPr="00CF6D98" w:rsidSect="00A8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18"/>
    <w:rsid w:val="00051118"/>
    <w:rsid w:val="00067425"/>
    <w:rsid w:val="00A86849"/>
    <w:rsid w:val="00B22D56"/>
    <w:rsid w:val="00C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6D98"/>
    <w:rPr>
      <w:b/>
      <w:bCs/>
    </w:rPr>
  </w:style>
  <w:style w:type="character" w:customStyle="1" w:styleId="hwtze">
    <w:name w:val="hwtze"/>
    <w:basedOn w:val="a0"/>
    <w:rsid w:val="00CF6D98"/>
  </w:style>
  <w:style w:type="character" w:customStyle="1" w:styleId="rynqvb">
    <w:name w:val="rynqvb"/>
    <w:basedOn w:val="a0"/>
    <w:rsid w:val="00CF6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6D98"/>
    <w:rPr>
      <w:b/>
      <w:bCs/>
    </w:rPr>
  </w:style>
  <w:style w:type="character" w:customStyle="1" w:styleId="hwtze">
    <w:name w:val="hwtze"/>
    <w:basedOn w:val="a0"/>
    <w:rsid w:val="00CF6D98"/>
  </w:style>
  <w:style w:type="character" w:customStyle="1" w:styleId="rynqvb">
    <w:name w:val="rynqvb"/>
    <w:basedOn w:val="a0"/>
    <w:rsid w:val="00CF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54514">
      <w:bodyDiv w:val="1"/>
      <w:marLeft w:val="0"/>
      <w:marRight w:val="0"/>
      <w:marTop w:val="0"/>
      <w:marBottom w:val="0"/>
      <w:divBdr>
        <w:top w:val="none" w:sz="0" w:space="0" w:color="auto"/>
        <w:left w:val="none" w:sz="0" w:space="0" w:color="auto"/>
        <w:bottom w:val="none" w:sz="0" w:space="0" w:color="auto"/>
        <w:right w:val="none" w:sz="0" w:space="0" w:color="auto"/>
      </w:divBdr>
      <w:divsChild>
        <w:div w:id="43339600">
          <w:marLeft w:val="0"/>
          <w:marRight w:val="0"/>
          <w:marTop w:val="0"/>
          <w:marBottom w:val="0"/>
          <w:divBdr>
            <w:top w:val="none" w:sz="0" w:space="0" w:color="auto"/>
            <w:left w:val="none" w:sz="0" w:space="0" w:color="auto"/>
            <w:bottom w:val="none" w:sz="0" w:space="0" w:color="auto"/>
            <w:right w:val="none" w:sz="0" w:space="0" w:color="auto"/>
          </w:divBdr>
        </w:div>
      </w:divsChild>
    </w:div>
    <w:div w:id="20925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2025-07-24T08:38:00Z</dcterms:created>
  <dcterms:modified xsi:type="dcterms:W3CDTF">2025-07-24T08:38:00Z</dcterms:modified>
</cp:coreProperties>
</file>