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12" w:rsidRDefault="00073F12" w:rsidP="00073F1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073F12" w:rsidRDefault="00073F12" w:rsidP="00073F1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422FD">
        <w:rPr>
          <w:rFonts w:ascii="Times New Roman" w:eastAsia="Times New Roman" w:hAnsi="Times New Roman" w:cs="Times New Roman"/>
          <w:b/>
          <w:sz w:val="28"/>
          <w:szCs w:val="28"/>
          <w:lang w:val="en-US" w:eastAsia="ru-RU"/>
        </w:rPr>
        <w:t>Methodological foundations of teaching history in higher education</w:t>
      </w:r>
      <w:bookmarkEnd w:id="0"/>
      <w:r>
        <w:rPr>
          <w:rFonts w:ascii="Times New Roman" w:hAnsi="Times New Roman" w:cs="Times New Roman"/>
          <w:b/>
          <w:sz w:val="28"/>
          <w:szCs w:val="28"/>
          <w:lang w:val="en-US"/>
        </w:rPr>
        <w:t>”</w:t>
      </w:r>
    </w:p>
    <w:p w:rsidR="00073F12" w:rsidRDefault="00073F12" w:rsidP="00073F12">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073F12" w:rsidRP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P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073F12">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073F12">
              <w:rPr>
                <w:rFonts w:ascii="Times New Roman" w:hAnsi="Times New Roman" w:cs="Times New Roman"/>
                <w:bCs/>
                <w:color w:val="000000"/>
                <w:sz w:val="28"/>
                <w:szCs w:val="28"/>
              </w:rPr>
              <w:t>7</w:t>
            </w:r>
            <w:r w:rsidRPr="00073F12">
              <w:rPr>
                <w:rFonts w:ascii="Times New Roman" w:hAnsi="Times New Roman" w:cs="Times New Roman"/>
                <w:bCs/>
                <w:color w:val="000000"/>
                <w:sz w:val="28"/>
                <w:szCs w:val="28"/>
                <w:lang w:val="en-US"/>
              </w:rPr>
              <w:t>-0</w:t>
            </w:r>
            <w:r w:rsidRPr="00073F12">
              <w:rPr>
                <w:rFonts w:ascii="Times New Roman" w:hAnsi="Times New Roman" w:cs="Times New Roman"/>
                <w:bCs/>
                <w:color w:val="000000"/>
                <w:sz w:val="28"/>
                <w:szCs w:val="28"/>
              </w:rPr>
              <w:t>6</w:t>
            </w:r>
            <w:r w:rsidRPr="00073F12">
              <w:rPr>
                <w:rFonts w:ascii="Times New Roman" w:hAnsi="Times New Roman" w:cs="Times New Roman"/>
                <w:bCs/>
                <w:color w:val="000000"/>
                <w:sz w:val="28"/>
                <w:szCs w:val="28"/>
                <w:lang w:val="en-US"/>
              </w:rPr>
              <w:t>-0</w:t>
            </w:r>
            <w:r w:rsidRPr="00073F12">
              <w:rPr>
                <w:rFonts w:ascii="Times New Roman" w:hAnsi="Times New Roman" w:cs="Times New Roman"/>
                <w:bCs/>
                <w:color w:val="000000"/>
                <w:sz w:val="28"/>
                <w:szCs w:val="28"/>
              </w:rPr>
              <w:t>222</w:t>
            </w:r>
            <w:r w:rsidRPr="00073F12">
              <w:rPr>
                <w:rFonts w:ascii="Times New Roman" w:hAnsi="Times New Roman" w:cs="Times New Roman"/>
                <w:bCs/>
                <w:color w:val="000000"/>
                <w:sz w:val="28"/>
                <w:szCs w:val="28"/>
                <w:lang w:val="en-US"/>
              </w:rPr>
              <w:t>-0</w:t>
            </w:r>
            <w:r w:rsidRPr="00073F12">
              <w:rPr>
                <w:rFonts w:ascii="Times New Roman" w:hAnsi="Times New Roman" w:cs="Times New Roman"/>
                <w:bCs/>
                <w:color w:val="000000"/>
                <w:sz w:val="28"/>
                <w:szCs w:val="28"/>
              </w:rPr>
              <w:t>1</w:t>
            </w:r>
            <w:r w:rsidRPr="00073F12">
              <w:rPr>
                <w:rFonts w:ascii="Times New Roman" w:hAnsi="Times New Roman" w:cs="Times New Roman"/>
                <w:bCs/>
                <w:color w:val="000000"/>
                <w:sz w:val="28"/>
                <w:szCs w:val="28"/>
                <w:lang w:val="en-US"/>
              </w:rPr>
              <w:t xml:space="preserve"> History</w:t>
            </w:r>
          </w:p>
        </w:tc>
      </w:tr>
      <w:tr w:rsid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2</w:t>
            </w:r>
          </w:p>
        </w:tc>
      </w:tr>
      <w:tr w:rsid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3</w:t>
            </w:r>
          </w:p>
        </w:tc>
      </w:tr>
      <w:tr w:rsid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42</w:t>
            </w:r>
          </w:p>
        </w:tc>
      </w:tr>
      <w:tr w:rsidR="00073F12" w:rsidTr="00073F12">
        <w:tc>
          <w:tcPr>
            <w:tcW w:w="3227" w:type="dxa"/>
            <w:vMerge w:val="restart"/>
            <w:tcBorders>
              <w:top w:val="single" w:sz="4" w:space="0" w:color="auto"/>
              <w:left w:val="single" w:sz="4" w:space="0" w:color="auto"/>
              <w:bottom w:val="single" w:sz="4" w:space="0" w:color="auto"/>
              <w:right w:val="single" w:sz="4" w:space="0" w:color="auto"/>
            </w:tcBorders>
            <w:hideMark/>
          </w:tcPr>
          <w:p w:rsidR="00073F12" w:rsidRDefault="00073F12">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073F12" w:rsidRDefault="00073F12">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073F12" w:rsidRDefault="00073F12">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22</w:t>
            </w:r>
          </w:p>
        </w:tc>
      </w:tr>
      <w:tr w:rsidR="00073F12" w:rsidTr="00073F12">
        <w:tc>
          <w:tcPr>
            <w:tcW w:w="0" w:type="auto"/>
            <w:vMerge/>
            <w:tcBorders>
              <w:top w:val="single" w:sz="4" w:space="0" w:color="auto"/>
              <w:left w:val="single" w:sz="4" w:space="0" w:color="auto"/>
              <w:bottom w:val="single" w:sz="4" w:space="0" w:color="auto"/>
              <w:right w:val="single" w:sz="4" w:space="0" w:color="auto"/>
            </w:tcBorders>
            <w:vAlign w:val="center"/>
            <w:hideMark/>
          </w:tcPr>
          <w:p w:rsidR="00073F12" w:rsidRDefault="00073F12">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20</w:t>
            </w:r>
          </w:p>
        </w:tc>
      </w:tr>
      <w:tr w:rsidR="00073F12" w:rsidTr="00073F12">
        <w:tc>
          <w:tcPr>
            <w:tcW w:w="0" w:type="auto"/>
            <w:vMerge/>
            <w:tcBorders>
              <w:top w:val="single" w:sz="4" w:space="0" w:color="auto"/>
              <w:left w:val="single" w:sz="4" w:space="0" w:color="auto"/>
              <w:bottom w:val="single" w:sz="4" w:space="0" w:color="auto"/>
              <w:right w:val="single" w:sz="4" w:space="0" w:color="auto"/>
            </w:tcBorders>
            <w:vAlign w:val="center"/>
            <w:hideMark/>
          </w:tcPr>
          <w:p w:rsidR="00073F12" w:rsidRDefault="00073F12">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w:t>
            </w:r>
          </w:p>
        </w:tc>
      </w:tr>
      <w:tr w:rsidR="00073F12" w:rsidTr="00073F12">
        <w:tc>
          <w:tcPr>
            <w:tcW w:w="0" w:type="auto"/>
            <w:vMerge/>
            <w:tcBorders>
              <w:top w:val="single" w:sz="4" w:space="0" w:color="auto"/>
              <w:left w:val="single" w:sz="4" w:space="0" w:color="auto"/>
              <w:bottom w:val="single" w:sz="4" w:space="0" w:color="auto"/>
              <w:right w:val="single" w:sz="4" w:space="0" w:color="auto"/>
            </w:tcBorders>
            <w:vAlign w:val="center"/>
            <w:hideMark/>
          </w:tcPr>
          <w:p w:rsidR="00073F12" w:rsidRDefault="00073F12">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w:t>
            </w:r>
          </w:p>
        </w:tc>
      </w:tr>
      <w:tr w:rsid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073F12"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rsidP="00B95911">
            <w:pPr>
              <w:spacing w:after="0" w:line="240" w:lineRule="auto"/>
              <w:rPr>
                <w:rFonts w:ascii="Times New Roman" w:hAnsi="Times New Roman" w:cs="Times New Roman"/>
                <w:sz w:val="28"/>
                <w:szCs w:val="28"/>
              </w:rPr>
            </w:pPr>
            <w:r w:rsidRPr="00073F12">
              <w:rPr>
                <w:rFonts w:ascii="Times New Roman" w:hAnsi="Times New Roman" w:cs="Times New Roman"/>
                <w:sz w:val="28"/>
                <w:szCs w:val="28"/>
              </w:rPr>
              <w:t>6</w:t>
            </w:r>
          </w:p>
        </w:tc>
      </w:tr>
      <w:tr w:rsidR="00073F12" w:rsidRPr="003422FD" w:rsidTr="00073F12">
        <w:tc>
          <w:tcPr>
            <w:tcW w:w="3227" w:type="dxa"/>
            <w:tcBorders>
              <w:top w:val="single" w:sz="4" w:space="0" w:color="auto"/>
              <w:left w:val="single" w:sz="4" w:space="0" w:color="auto"/>
              <w:bottom w:val="single" w:sz="4" w:space="0" w:color="auto"/>
              <w:right w:val="single" w:sz="4" w:space="0" w:color="auto"/>
            </w:tcBorders>
            <w:hideMark/>
          </w:tcPr>
          <w:p w:rsidR="00073F12" w:rsidRDefault="00073F12">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073F12" w:rsidRPr="00073F12" w:rsidRDefault="00073F12">
            <w:pPr>
              <w:spacing w:after="0" w:line="240" w:lineRule="auto"/>
              <w:jc w:val="both"/>
              <w:rPr>
                <w:rFonts w:ascii="Times New Roman" w:eastAsia="Times New Roman" w:hAnsi="Times New Roman" w:cs="Times New Roman"/>
                <w:color w:val="000000"/>
                <w:kern w:val="2"/>
                <w:sz w:val="28"/>
                <w:szCs w:val="28"/>
                <w:lang w:val="en-US"/>
              </w:rPr>
            </w:pPr>
            <w:r w:rsidRPr="00073F12">
              <w:rPr>
                <w:rFonts w:ascii="Times New Roman" w:hAnsi="Times New Roman" w:cs="Times New Roman"/>
                <w:sz w:val="28"/>
                <w:szCs w:val="28"/>
                <w:lang w:val="be-BY"/>
              </w:rPr>
              <w:t>Provide communication, demonstrate leadership skills, be capable of team building and development of strategic goals and objectives; be capable of predicting conditions for the implementation of professional activities and solving professional problems in conditions of uncertainty; design analytical and simulation models in the field of management of historical education and science to solve problems of professional activity.</w:t>
            </w:r>
          </w:p>
        </w:tc>
      </w:tr>
      <w:tr w:rsidR="00073F12" w:rsidRPr="003422FD" w:rsidTr="00073F12">
        <w:tc>
          <w:tcPr>
            <w:tcW w:w="9570" w:type="dxa"/>
            <w:gridSpan w:val="2"/>
            <w:tcBorders>
              <w:top w:val="single" w:sz="4" w:space="0" w:color="auto"/>
              <w:left w:val="single" w:sz="4" w:space="0" w:color="auto"/>
              <w:bottom w:val="single" w:sz="4" w:space="0" w:color="auto"/>
              <w:right w:val="single" w:sz="4" w:space="0" w:color="auto"/>
            </w:tcBorders>
            <w:hideMark/>
          </w:tcPr>
          <w:p w:rsidR="00073F12" w:rsidRDefault="00073F12">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073F12" w:rsidRPr="00073F12" w:rsidRDefault="00073F12">
            <w:pPr>
              <w:spacing w:after="0" w:line="240" w:lineRule="auto"/>
              <w:ind w:firstLine="714"/>
              <w:jc w:val="both"/>
              <w:rPr>
                <w:rFonts w:ascii="Times New Roman" w:eastAsia="Times New Roman" w:hAnsi="Times New Roman" w:cs="Times New Roman"/>
                <w:color w:val="3C4043"/>
                <w:sz w:val="28"/>
                <w:szCs w:val="28"/>
                <w:lang w:val="en-US"/>
              </w:rPr>
            </w:pPr>
            <w:r w:rsidRPr="003422FD">
              <w:rPr>
                <w:rFonts w:ascii="Times New Roman" w:hAnsi="Times New Roman" w:cs="Times New Roman"/>
                <w:sz w:val="28"/>
                <w:szCs w:val="28"/>
                <w:lang w:val="en-US"/>
              </w:rPr>
              <w:t>The regulatory framework for the work of a history teacher in higher education. Educational standards of higher education on the formation of competencies in the field of historical knowledge. The concept of teaching history in higher education: modern achievements and discussions. Scientific and pedagogical work of a teacher as a system-forming factor in teaching history in higher education. Methodology of teaching history in the course of organizing educational, industrial and pre-graduation practices in higher education. Methodology of teaching history in the course of organizing independent work of students. Methodology of teaching history in the course of organizing educational work of students. Methodology of teaching history in the course of correspondence and distance learning in higher education</w:t>
            </w:r>
          </w:p>
        </w:tc>
      </w:tr>
    </w:tbl>
    <w:p w:rsidR="00073F12" w:rsidRDefault="00073F12" w:rsidP="00073F12">
      <w:pPr>
        <w:spacing w:after="0" w:line="240" w:lineRule="auto"/>
        <w:rPr>
          <w:rFonts w:ascii="Times New Roman" w:eastAsia="Times New Roman" w:hAnsi="Times New Roman" w:cs="Times New Roman"/>
          <w:sz w:val="28"/>
          <w:szCs w:val="28"/>
          <w:lang w:val="en-US"/>
        </w:rPr>
      </w:pPr>
    </w:p>
    <w:p w:rsidR="00073F12" w:rsidRPr="00073F12" w:rsidRDefault="00073F12" w:rsidP="00C9509F">
      <w:pPr>
        <w:spacing w:after="0" w:line="240" w:lineRule="auto"/>
        <w:rPr>
          <w:lang w:val="en-US"/>
        </w:rPr>
      </w:pPr>
    </w:p>
    <w:sectPr w:rsidR="00073F12" w:rsidRPr="00073F12" w:rsidSect="005D7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9F"/>
    <w:rsid w:val="00067425"/>
    <w:rsid w:val="00073F12"/>
    <w:rsid w:val="003422FD"/>
    <w:rsid w:val="005D77E9"/>
    <w:rsid w:val="00C9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73F12"/>
    <w:rPr>
      <w:b/>
      <w:bCs/>
    </w:rPr>
  </w:style>
  <w:style w:type="character" w:customStyle="1" w:styleId="rynqvb">
    <w:name w:val="rynqvb"/>
    <w:basedOn w:val="a0"/>
    <w:rsid w:val="00073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073F12"/>
    <w:rPr>
      <w:b/>
      <w:bCs/>
    </w:rPr>
  </w:style>
  <w:style w:type="character" w:customStyle="1" w:styleId="rynqvb">
    <w:name w:val="rynqvb"/>
    <w:basedOn w:val="a0"/>
    <w:rsid w:val="0007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2025-07-24T08:30:00Z</dcterms:created>
  <dcterms:modified xsi:type="dcterms:W3CDTF">2025-07-24T08:30:00Z</dcterms:modified>
</cp:coreProperties>
</file>