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830D2" w14:textId="77777777" w:rsidR="00E4269C" w:rsidRDefault="00E4269C" w:rsidP="00E4269C">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The name of the academic discipline:</w:t>
      </w:r>
    </w:p>
    <w:p w14:paraId="3855AEF2" w14:textId="28417961" w:rsidR="00E4269C" w:rsidRDefault="00E4269C" w:rsidP="00E4269C">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bookmarkStart w:id="0" w:name="_GoBack"/>
      <w:r w:rsidRPr="00E4269C">
        <w:rPr>
          <w:rFonts w:ascii="Times New Roman" w:eastAsia="Times New Roman" w:hAnsi="Times New Roman" w:cs="Times New Roman"/>
          <w:b/>
          <w:sz w:val="26"/>
          <w:szCs w:val="26"/>
          <w:lang w:val="en-US"/>
        </w:rPr>
        <w:t>Ethnomusicology</w:t>
      </w:r>
      <w:bookmarkEnd w:id="0"/>
      <w:r>
        <w:rPr>
          <w:rFonts w:ascii="Times New Roman" w:hAnsi="Times New Roman" w:cs="Times New Roman"/>
          <w:b/>
          <w:sz w:val="26"/>
          <w:szCs w:val="26"/>
          <w:lang w:val="en-US"/>
        </w:rPr>
        <w:t>”</w:t>
      </w:r>
    </w:p>
    <w:p w14:paraId="4A255EC4" w14:textId="77777777" w:rsidR="00E4269C" w:rsidRDefault="00E4269C" w:rsidP="00E4269C">
      <w:pPr>
        <w:spacing w:after="0" w:line="240" w:lineRule="auto"/>
        <w:jc w:val="center"/>
        <w:rPr>
          <w:rFonts w:ascii="Times New Roman" w:hAnsi="Times New Roman" w:cs="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4269C" w:rsidRPr="00E4269C" w14:paraId="6B3BB42D" w14:textId="77777777" w:rsidTr="00E4269C">
        <w:tc>
          <w:tcPr>
            <w:tcW w:w="3227" w:type="dxa"/>
            <w:tcBorders>
              <w:top w:val="single" w:sz="4" w:space="0" w:color="auto"/>
              <w:left w:val="single" w:sz="4" w:space="0" w:color="auto"/>
              <w:bottom w:val="single" w:sz="4" w:space="0" w:color="auto"/>
              <w:right w:val="single" w:sz="4" w:space="0" w:color="auto"/>
            </w:tcBorders>
            <w:hideMark/>
          </w:tcPr>
          <w:p w14:paraId="16B171C7" w14:textId="77777777" w:rsidR="00E4269C" w:rsidRPr="00E4269C" w:rsidRDefault="00E4269C">
            <w:pPr>
              <w:spacing w:after="0" w:line="240" w:lineRule="auto"/>
              <w:rPr>
                <w:rFonts w:ascii="Times New Roman" w:eastAsia="Times New Roman" w:hAnsi="Times New Roman" w:cs="Times New Roman"/>
                <w:b/>
                <w:iCs/>
                <w:color w:val="000000"/>
                <w:w w:val="107"/>
                <w:sz w:val="26"/>
                <w:szCs w:val="26"/>
                <w:lang w:val="en-US"/>
              </w:rPr>
            </w:pPr>
            <w:r w:rsidRPr="00E4269C">
              <w:rPr>
                <w:rStyle w:val="a6"/>
                <w:rFonts w:ascii="Times New Roman" w:hAnsi="Times New Roman" w:cs="Times New Roman"/>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30669A56" w14:textId="77777777" w:rsidR="00E4269C" w:rsidRPr="00E4269C" w:rsidRDefault="00E4269C">
            <w:pPr>
              <w:spacing w:after="0" w:line="240" w:lineRule="auto"/>
              <w:rPr>
                <w:rFonts w:ascii="Times New Roman" w:eastAsia="Times New Roman" w:hAnsi="Times New Roman" w:cs="Times New Roman"/>
                <w:sz w:val="26"/>
                <w:szCs w:val="26"/>
                <w:lang w:val="en-US"/>
              </w:rPr>
            </w:pPr>
            <w:r w:rsidRPr="00E4269C">
              <w:rPr>
                <w:rFonts w:ascii="Times New Roman" w:hAnsi="Times New Roman" w:cs="Times New Roman"/>
                <w:bCs/>
                <w:color w:val="000000"/>
                <w:sz w:val="26"/>
                <w:szCs w:val="26"/>
              </w:rPr>
              <w:t>7-06-0113-0</w:t>
            </w:r>
            <w:r w:rsidRPr="00E4269C">
              <w:rPr>
                <w:rFonts w:ascii="Times New Roman" w:hAnsi="Times New Roman" w:cs="Times New Roman"/>
                <w:bCs/>
                <w:color w:val="000000"/>
                <w:sz w:val="26"/>
                <w:szCs w:val="26"/>
                <w:lang w:val="en-US"/>
              </w:rPr>
              <w:t>6 Artistic and Aesthetic Education</w:t>
            </w:r>
          </w:p>
        </w:tc>
      </w:tr>
      <w:tr w:rsidR="00E4269C" w14:paraId="39BA1C9E" w14:textId="77777777" w:rsidTr="00E4269C">
        <w:tc>
          <w:tcPr>
            <w:tcW w:w="3227" w:type="dxa"/>
            <w:tcBorders>
              <w:top w:val="single" w:sz="4" w:space="0" w:color="auto"/>
              <w:left w:val="single" w:sz="4" w:space="0" w:color="auto"/>
              <w:bottom w:val="single" w:sz="4" w:space="0" w:color="auto"/>
              <w:right w:val="single" w:sz="4" w:space="0" w:color="auto"/>
            </w:tcBorders>
            <w:hideMark/>
          </w:tcPr>
          <w:p w14:paraId="6C7C0181"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6C52A613" w14:textId="03EF677A" w:rsidR="00E4269C" w:rsidRPr="00E4269C" w:rsidRDefault="00E4269C">
            <w:pPr>
              <w:spacing w:after="0" w:line="240" w:lineRule="auto"/>
              <w:rPr>
                <w:rFonts w:ascii="Times New Roman" w:hAnsi="Times New Roman" w:cs="Times New Roman"/>
                <w:sz w:val="26"/>
                <w:szCs w:val="26"/>
              </w:rPr>
            </w:pPr>
            <w:r w:rsidRPr="00E4269C">
              <w:rPr>
                <w:rFonts w:ascii="Times New Roman" w:hAnsi="Times New Roman" w:cs="Times New Roman"/>
                <w:color w:val="000000" w:themeColor="text1"/>
                <w:sz w:val="26"/>
                <w:szCs w:val="26"/>
              </w:rPr>
              <w:t xml:space="preserve">1 </w:t>
            </w:r>
          </w:p>
        </w:tc>
      </w:tr>
      <w:tr w:rsidR="00E4269C" w14:paraId="0528A4A3" w14:textId="77777777" w:rsidTr="00E4269C">
        <w:tc>
          <w:tcPr>
            <w:tcW w:w="3227" w:type="dxa"/>
            <w:tcBorders>
              <w:top w:val="single" w:sz="4" w:space="0" w:color="auto"/>
              <w:left w:val="single" w:sz="4" w:space="0" w:color="auto"/>
              <w:bottom w:val="single" w:sz="4" w:space="0" w:color="auto"/>
              <w:right w:val="single" w:sz="4" w:space="0" w:color="auto"/>
            </w:tcBorders>
            <w:hideMark/>
          </w:tcPr>
          <w:p w14:paraId="33E89AA9"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D82273F" w14:textId="4066329D" w:rsidR="00E4269C" w:rsidRPr="00E4269C" w:rsidRDefault="00E4269C">
            <w:pPr>
              <w:spacing w:after="0" w:line="240" w:lineRule="auto"/>
              <w:rPr>
                <w:rFonts w:ascii="Times New Roman" w:hAnsi="Times New Roman" w:cs="Times New Roman"/>
                <w:sz w:val="26"/>
                <w:szCs w:val="26"/>
                <w:lang w:val="en-US"/>
              </w:rPr>
            </w:pPr>
            <w:r w:rsidRPr="00E4269C">
              <w:rPr>
                <w:rFonts w:ascii="Times New Roman" w:hAnsi="Times New Roman" w:cs="Times New Roman"/>
                <w:color w:val="000000" w:themeColor="text1"/>
                <w:sz w:val="26"/>
                <w:szCs w:val="26"/>
              </w:rPr>
              <w:t xml:space="preserve">1 </w:t>
            </w:r>
          </w:p>
        </w:tc>
      </w:tr>
      <w:tr w:rsidR="00E4269C" w14:paraId="4B21610F" w14:textId="77777777" w:rsidTr="00E4269C">
        <w:tc>
          <w:tcPr>
            <w:tcW w:w="3227" w:type="dxa"/>
            <w:tcBorders>
              <w:top w:val="single" w:sz="4" w:space="0" w:color="auto"/>
              <w:left w:val="single" w:sz="4" w:space="0" w:color="auto"/>
              <w:bottom w:val="single" w:sz="4" w:space="0" w:color="auto"/>
              <w:right w:val="single" w:sz="4" w:space="0" w:color="auto"/>
            </w:tcBorders>
            <w:hideMark/>
          </w:tcPr>
          <w:p w14:paraId="0340A15D"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617B1D56" w14:textId="2F5F1E74" w:rsidR="00E4269C" w:rsidRPr="00E4269C" w:rsidRDefault="00E4269C">
            <w:pPr>
              <w:spacing w:after="0" w:line="240" w:lineRule="auto"/>
              <w:rPr>
                <w:rFonts w:ascii="Times New Roman" w:hAnsi="Times New Roman" w:cs="Times New Roman"/>
                <w:sz w:val="26"/>
                <w:szCs w:val="26"/>
                <w:lang w:val="en-US"/>
              </w:rPr>
            </w:pPr>
            <w:r w:rsidRPr="00E4269C">
              <w:rPr>
                <w:rFonts w:ascii="Times New Roman" w:hAnsi="Times New Roman" w:cs="Times New Roman"/>
                <w:color w:val="000000" w:themeColor="text1"/>
                <w:sz w:val="26"/>
                <w:szCs w:val="26"/>
              </w:rPr>
              <w:t xml:space="preserve">22 </w:t>
            </w:r>
          </w:p>
        </w:tc>
      </w:tr>
      <w:tr w:rsidR="00E4269C" w14:paraId="17C323EC" w14:textId="77777777" w:rsidTr="00E4269C">
        <w:tc>
          <w:tcPr>
            <w:tcW w:w="3227" w:type="dxa"/>
            <w:vMerge w:val="restart"/>
            <w:tcBorders>
              <w:top w:val="single" w:sz="4" w:space="0" w:color="auto"/>
              <w:left w:val="single" w:sz="4" w:space="0" w:color="auto"/>
              <w:bottom w:val="single" w:sz="4" w:space="0" w:color="auto"/>
              <w:right w:val="single" w:sz="4" w:space="0" w:color="auto"/>
            </w:tcBorders>
            <w:hideMark/>
          </w:tcPr>
          <w:p w14:paraId="5A954DBF"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Lectures</w:t>
            </w:r>
          </w:p>
          <w:p w14:paraId="2CD4754D" w14:textId="77777777" w:rsidR="00E4269C" w:rsidRDefault="00E4269C">
            <w:pPr>
              <w:spacing w:after="0" w:line="240" w:lineRule="auto"/>
              <w:rPr>
                <w:rFonts w:ascii="Times New Roman" w:eastAsiaTheme="minorEastAsia" w:hAnsi="Times New Roman" w:cs="Times New Roman"/>
                <w:b/>
                <w:sz w:val="26"/>
                <w:szCs w:val="26"/>
                <w:lang w:val="en-US"/>
              </w:rPr>
            </w:pPr>
            <w:r>
              <w:rPr>
                <w:rFonts w:ascii="Times New Roman" w:hAnsi="Times New Roman" w:cs="Times New Roman"/>
                <w:b/>
                <w:sz w:val="26"/>
                <w:szCs w:val="26"/>
                <w:lang w:val="en-US"/>
              </w:rPr>
              <w:t xml:space="preserve">Seminar classes </w:t>
            </w:r>
          </w:p>
          <w:p w14:paraId="6DA4C770" w14:textId="77777777" w:rsidR="00E4269C" w:rsidRDefault="00E4269C">
            <w:pPr>
              <w:spacing w:after="0"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Practical classes</w:t>
            </w:r>
          </w:p>
          <w:p w14:paraId="658403EE"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4979F33" w14:textId="3BF2EC51" w:rsidR="00E4269C" w:rsidRPr="00E4269C" w:rsidRDefault="00E4269C">
            <w:pPr>
              <w:spacing w:after="0" w:line="240" w:lineRule="auto"/>
              <w:rPr>
                <w:rFonts w:ascii="Times New Roman" w:hAnsi="Times New Roman" w:cs="Times New Roman"/>
                <w:sz w:val="26"/>
                <w:szCs w:val="26"/>
                <w:lang w:val="en-US"/>
              </w:rPr>
            </w:pPr>
            <w:r w:rsidRPr="00E4269C">
              <w:rPr>
                <w:rFonts w:ascii="Times New Roman" w:hAnsi="Times New Roman" w:cs="Times New Roman"/>
                <w:color w:val="000000" w:themeColor="text1"/>
                <w:sz w:val="26"/>
                <w:szCs w:val="26"/>
              </w:rPr>
              <w:t>12</w:t>
            </w:r>
          </w:p>
        </w:tc>
      </w:tr>
      <w:tr w:rsidR="00E4269C" w14:paraId="1061D2C1" w14:textId="77777777" w:rsidTr="00E4269C">
        <w:tc>
          <w:tcPr>
            <w:tcW w:w="0" w:type="auto"/>
            <w:vMerge/>
            <w:tcBorders>
              <w:top w:val="single" w:sz="4" w:space="0" w:color="auto"/>
              <w:left w:val="single" w:sz="4" w:space="0" w:color="auto"/>
              <w:bottom w:val="single" w:sz="4" w:space="0" w:color="auto"/>
              <w:right w:val="single" w:sz="4" w:space="0" w:color="auto"/>
            </w:tcBorders>
            <w:vAlign w:val="center"/>
            <w:hideMark/>
          </w:tcPr>
          <w:p w14:paraId="3445D7A5"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66EB6A5" w14:textId="266B3A7B" w:rsidR="00E4269C" w:rsidRPr="00E4269C" w:rsidRDefault="00E4269C">
            <w:pPr>
              <w:spacing w:after="0" w:line="240" w:lineRule="auto"/>
              <w:rPr>
                <w:rFonts w:ascii="Times New Roman" w:hAnsi="Times New Roman" w:cs="Times New Roman"/>
                <w:sz w:val="26"/>
                <w:szCs w:val="26"/>
                <w:lang w:val="en-US"/>
              </w:rPr>
            </w:pPr>
            <w:r w:rsidRPr="00E4269C">
              <w:rPr>
                <w:rFonts w:ascii="Times New Roman" w:hAnsi="Times New Roman" w:cs="Times New Roman"/>
                <w:color w:val="000000" w:themeColor="text1"/>
                <w:sz w:val="26"/>
                <w:szCs w:val="26"/>
              </w:rPr>
              <w:t>10</w:t>
            </w:r>
          </w:p>
        </w:tc>
      </w:tr>
      <w:tr w:rsidR="00E4269C" w14:paraId="7C42379C" w14:textId="77777777" w:rsidTr="00E4269C">
        <w:tc>
          <w:tcPr>
            <w:tcW w:w="0" w:type="auto"/>
            <w:vMerge/>
            <w:tcBorders>
              <w:top w:val="single" w:sz="4" w:space="0" w:color="auto"/>
              <w:left w:val="single" w:sz="4" w:space="0" w:color="auto"/>
              <w:bottom w:val="single" w:sz="4" w:space="0" w:color="auto"/>
              <w:right w:val="single" w:sz="4" w:space="0" w:color="auto"/>
            </w:tcBorders>
            <w:vAlign w:val="center"/>
            <w:hideMark/>
          </w:tcPr>
          <w:p w14:paraId="13DEDE81"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80AAAAA" w14:textId="31B834CE" w:rsidR="00E4269C" w:rsidRPr="00E4269C" w:rsidRDefault="00E4269C">
            <w:pPr>
              <w:spacing w:after="0" w:line="240" w:lineRule="auto"/>
              <w:rPr>
                <w:rFonts w:ascii="Times New Roman" w:hAnsi="Times New Roman" w:cs="Times New Roman"/>
                <w:sz w:val="26"/>
                <w:szCs w:val="26"/>
              </w:rPr>
            </w:pPr>
            <w:r w:rsidRPr="00E4269C">
              <w:rPr>
                <w:rFonts w:ascii="Times New Roman" w:hAnsi="Times New Roman" w:cs="Times New Roman"/>
                <w:color w:val="000000" w:themeColor="text1"/>
                <w:sz w:val="26"/>
                <w:szCs w:val="26"/>
              </w:rPr>
              <w:t>-</w:t>
            </w:r>
          </w:p>
        </w:tc>
      </w:tr>
      <w:tr w:rsidR="00E4269C" w14:paraId="36C86BA5" w14:textId="77777777" w:rsidTr="00E4269C">
        <w:tc>
          <w:tcPr>
            <w:tcW w:w="0" w:type="auto"/>
            <w:vMerge/>
            <w:tcBorders>
              <w:top w:val="single" w:sz="4" w:space="0" w:color="auto"/>
              <w:left w:val="single" w:sz="4" w:space="0" w:color="auto"/>
              <w:bottom w:val="single" w:sz="4" w:space="0" w:color="auto"/>
              <w:right w:val="single" w:sz="4" w:space="0" w:color="auto"/>
            </w:tcBorders>
            <w:vAlign w:val="center"/>
            <w:hideMark/>
          </w:tcPr>
          <w:p w14:paraId="135C658B"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AB0415D" w14:textId="4935835A" w:rsidR="00E4269C" w:rsidRPr="00E4269C" w:rsidRDefault="00E4269C">
            <w:pPr>
              <w:spacing w:after="0" w:line="240" w:lineRule="auto"/>
              <w:rPr>
                <w:rFonts w:ascii="Times New Roman" w:hAnsi="Times New Roman" w:cs="Times New Roman"/>
                <w:sz w:val="26"/>
                <w:szCs w:val="26"/>
              </w:rPr>
            </w:pPr>
            <w:r w:rsidRPr="00E4269C">
              <w:rPr>
                <w:rFonts w:ascii="Times New Roman" w:hAnsi="Times New Roman" w:cs="Times New Roman"/>
                <w:color w:val="000000" w:themeColor="text1"/>
                <w:sz w:val="26"/>
                <w:szCs w:val="26"/>
              </w:rPr>
              <w:t>-</w:t>
            </w:r>
          </w:p>
        </w:tc>
      </w:tr>
      <w:tr w:rsidR="00E4269C" w14:paraId="6B1D3A4F" w14:textId="77777777" w:rsidTr="00E4269C">
        <w:tc>
          <w:tcPr>
            <w:tcW w:w="3227" w:type="dxa"/>
            <w:tcBorders>
              <w:top w:val="single" w:sz="4" w:space="0" w:color="auto"/>
              <w:left w:val="single" w:sz="4" w:space="0" w:color="auto"/>
              <w:bottom w:val="single" w:sz="4" w:space="0" w:color="auto"/>
              <w:right w:val="single" w:sz="4" w:space="0" w:color="auto"/>
            </w:tcBorders>
            <w:hideMark/>
          </w:tcPr>
          <w:p w14:paraId="41D67122"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Form of the current assessment (</w:t>
            </w:r>
            <w:r>
              <w:rPr>
                <w:rFonts w:ascii="Times New Roman" w:hAnsi="Times New Roman" w:cs="Times New Roman"/>
                <w:b/>
                <w:i/>
                <w:sz w:val="26"/>
                <w:szCs w:val="26"/>
                <w:lang w:val="en-US"/>
              </w:rPr>
              <w:t>credit/ graded credit /exam</w:t>
            </w:r>
            <w:r>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5ABEF72C" w14:textId="13F8630E" w:rsidR="00E4269C" w:rsidRPr="00E4269C" w:rsidRDefault="00E4269C">
            <w:pPr>
              <w:spacing w:after="0" w:line="240" w:lineRule="auto"/>
              <w:rPr>
                <w:rFonts w:ascii="Times New Roman" w:eastAsia="Times New Roman" w:hAnsi="Times New Roman" w:cs="Times New Roman"/>
                <w:sz w:val="26"/>
                <w:szCs w:val="26"/>
                <w:lang w:val="en-US"/>
              </w:rPr>
            </w:pPr>
            <w:r w:rsidRPr="00E4269C">
              <w:rPr>
                <w:rFonts w:ascii="Times New Roman" w:hAnsi="Times New Roman" w:cs="Times New Roman"/>
                <w:color w:val="000000" w:themeColor="text1"/>
                <w:sz w:val="26"/>
                <w:szCs w:val="26"/>
              </w:rPr>
              <w:t>-</w:t>
            </w:r>
          </w:p>
        </w:tc>
      </w:tr>
      <w:tr w:rsidR="00E4269C" w14:paraId="605B17F5" w14:textId="77777777" w:rsidTr="00E4269C">
        <w:tc>
          <w:tcPr>
            <w:tcW w:w="3227" w:type="dxa"/>
            <w:tcBorders>
              <w:top w:val="single" w:sz="4" w:space="0" w:color="auto"/>
              <w:left w:val="single" w:sz="4" w:space="0" w:color="auto"/>
              <w:bottom w:val="single" w:sz="4" w:space="0" w:color="auto"/>
              <w:right w:val="single" w:sz="4" w:space="0" w:color="auto"/>
            </w:tcBorders>
            <w:hideMark/>
          </w:tcPr>
          <w:p w14:paraId="5B52D50B"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3C3FA04" w14:textId="0E06DB91" w:rsidR="00E4269C" w:rsidRPr="00E4269C" w:rsidRDefault="00E4269C">
            <w:pPr>
              <w:spacing w:after="0" w:line="240" w:lineRule="auto"/>
              <w:rPr>
                <w:rFonts w:ascii="Times New Roman" w:eastAsia="Times New Roman" w:hAnsi="Times New Roman" w:cs="Times New Roman"/>
                <w:sz w:val="26"/>
                <w:szCs w:val="26"/>
                <w:lang w:val="en-US"/>
              </w:rPr>
            </w:pPr>
            <w:r w:rsidRPr="00E4269C">
              <w:rPr>
                <w:rFonts w:ascii="Times New Roman" w:hAnsi="Times New Roman" w:cs="Times New Roman"/>
                <w:color w:val="000000" w:themeColor="text1"/>
                <w:sz w:val="26"/>
                <w:szCs w:val="26"/>
              </w:rPr>
              <w:t>-</w:t>
            </w:r>
          </w:p>
        </w:tc>
      </w:tr>
      <w:tr w:rsidR="00E4269C" w:rsidRPr="001F71E4" w14:paraId="5B8FA364" w14:textId="77777777" w:rsidTr="00E4269C">
        <w:tc>
          <w:tcPr>
            <w:tcW w:w="3227" w:type="dxa"/>
            <w:tcBorders>
              <w:top w:val="single" w:sz="4" w:space="0" w:color="auto"/>
              <w:left w:val="single" w:sz="4" w:space="0" w:color="auto"/>
              <w:bottom w:val="single" w:sz="4" w:space="0" w:color="auto"/>
              <w:right w:val="single" w:sz="4" w:space="0" w:color="auto"/>
            </w:tcBorders>
            <w:hideMark/>
          </w:tcPr>
          <w:p w14:paraId="21B30E2A" w14:textId="77777777" w:rsidR="00E4269C" w:rsidRDefault="00E4269C">
            <w:pPr>
              <w:spacing w:after="0" w:line="240" w:lineRule="auto"/>
              <w:rPr>
                <w:rFonts w:ascii="Times New Roman" w:eastAsia="Times New Roman" w:hAnsi="Times New Roman" w:cs="Times New Roman"/>
                <w:b/>
                <w:iCs/>
                <w:color w:val="000000"/>
                <w:w w:val="107"/>
                <w:sz w:val="26"/>
                <w:szCs w:val="26"/>
                <w:lang w:val="en-US"/>
              </w:rPr>
            </w:pPr>
            <w:r>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6D3313E8" w14:textId="33578BA8" w:rsidR="00E4269C" w:rsidRDefault="00E4269C">
            <w:pPr>
              <w:spacing w:after="0" w:line="240" w:lineRule="auto"/>
              <w:ind w:right="-2"/>
              <w:jc w:val="both"/>
              <w:rPr>
                <w:rFonts w:ascii="Times New Roman" w:eastAsia="Times New Roman" w:hAnsi="Times New Roman" w:cs="Times New Roman"/>
                <w:sz w:val="26"/>
                <w:szCs w:val="26"/>
                <w:lang w:val="en-US"/>
              </w:rPr>
            </w:pPr>
            <w:r w:rsidRPr="00E4269C">
              <w:rPr>
                <w:rFonts w:ascii="Times New Roman" w:eastAsia="Times New Roman" w:hAnsi="Times New Roman" w:cs="Times New Roman"/>
                <w:sz w:val="26"/>
                <w:szCs w:val="26"/>
                <w:lang w:val="en-US"/>
              </w:rPr>
              <w:t xml:space="preserve">Mastering the academic discipline "Ethnomusicology" should ensure the formation of in-depth professional and specialized competencies: developing and implementing mechanisms and means of creating a </w:t>
            </w:r>
            <w:proofErr w:type="spellStart"/>
            <w:r w:rsidRPr="00E4269C">
              <w:rPr>
                <w:rFonts w:ascii="Times New Roman" w:eastAsia="Times New Roman" w:hAnsi="Times New Roman" w:cs="Times New Roman"/>
                <w:sz w:val="26"/>
                <w:szCs w:val="26"/>
                <w:lang w:val="en-US"/>
              </w:rPr>
              <w:t>polyartistic</w:t>
            </w:r>
            <w:proofErr w:type="spellEnd"/>
            <w:r w:rsidRPr="00E4269C">
              <w:rPr>
                <w:rFonts w:ascii="Times New Roman" w:eastAsia="Times New Roman" w:hAnsi="Times New Roman" w:cs="Times New Roman"/>
                <w:sz w:val="26"/>
                <w:szCs w:val="26"/>
                <w:lang w:val="en-US"/>
              </w:rPr>
              <w:t xml:space="preserve"> educational environment in educational institutions, ensuring the participation of gifted and talented students in competitions, festivals, creative research work, projects; applying modern pedagogical technologies for organizing artistic and aesthetic education taking into account domestic and foreign experience, analyzing the effectiveness of their implementation in the educational process.</w:t>
            </w:r>
          </w:p>
        </w:tc>
      </w:tr>
      <w:tr w:rsidR="00E4269C" w:rsidRPr="001F71E4" w14:paraId="1B40B995" w14:textId="77777777" w:rsidTr="00E4269C">
        <w:tc>
          <w:tcPr>
            <w:tcW w:w="9570" w:type="dxa"/>
            <w:gridSpan w:val="2"/>
            <w:tcBorders>
              <w:top w:val="single" w:sz="4" w:space="0" w:color="auto"/>
              <w:left w:val="single" w:sz="4" w:space="0" w:color="auto"/>
              <w:bottom w:val="single" w:sz="4" w:space="0" w:color="auto"/>
              <w:right w:val="single" w:sz="4" w:space="0" w:color="auto"/>
            </w:tcBorders>
            <w:hideMark/>
          </w:tcPr>
          <w:p w14:paraId="307C13C3" w14:textId="77777777" w:rsidR="00E4269C" w:rsidRDefault="00E4269C">
            <w:pPr>
              <w:spacing w:after="0" w:line="240" w:lineRule="auto"/>
              <w:jc w:val="center"/>
              <w:rPr>
                <w:rFonts w:ascii="Times New Roman" w:eastAsia="Times New Roman" w:hAnsi="Times New Roman" w:cs="Times New Roman"/>
                <w:b/>
                <w:iCs/>
                <w:w w:val="107"/>
                <w:sz w:val="26"/>
                <w:szCs w:val="26"/>
                <w:lang w:val="en-US"/>
              </w:rPr>
            </w:pPr>
            <w:r>
              <w:rPr>
                <w:rFonts w:ascii="Times New Roman" w:hAnsi="Times New Roman" w:cs="Times New Roman"/>
                <w:b/>
                <w:sz w:val="26"/>
                <w:szCs w:val="26"/>
                <w:lang w:val="en-US"/>
              </w:rPr>
              <w:t>Summary of the academic discipline:</w:t>
            </w:r>
          </w:p>
          <w:p w14:paraId="42AC7836" w14:textId="77777777" w:rsidR="00E4269C" w:rsidRPr="00E4269C" w:rsidRDefault="00E4269C" w:rsidP="00E4269C">
            <w:pPr>
              <w:autoSpaceDE w:val="0"/>
              <w:autoSpaceDN w:val="0"/>
              <w:adjustRightInd w:val="0"/>
              <w:spacing w:after="0" w:line="240" w:lineRule="auto"/>
              <w:ind w:firstLine="709"/>
              <w:jc w:val="both"/>
              <w:rPr>
                <w:rFonts w:ascii="Times New Roman" w:hAnsi="Times New Roman" w:cs="Times New Roman"/>
                <w:sz w:val="26"/>
                <w:szCs w:val="26"/>
                <w:lang w:val="en-US"/>
              </w:rPr>
            </w:pPr>
            <w:r w:rsidRPr="00E4269C">
              <w:rPr>
                <w:rFonts w:ascii="Times New Roman" w:hAnsi="Times New Roman" w:cs="Times New Roman"/>
                <w:sz w:val="26"/>
                <w:szCs w:val="26"/>
                <w:lang w:val="en-US"/>
              </w:rPr>
              <w:t>"Ethnomusicology" is an academic discipline that includes the unity of folklore, general music and artistic development of students, and also contributes to the formation of their creative personality.</w:t>
            </w:r>
          </w:p>
          <w:p w14:paraId="6D8C8E66" w14:textId="77777777" w:rsidR="00E4269C" w:rsidRPr="00E4269C" w:rsidRDefault="00E4269C" w:rsidP="00E4269C">
            <w:pPr>
              <w:autoSpaceDE w:val="0"/>
              <w:autoSpaceDN w:val="0"/>
              <w:adjustRightInd w:val="0"/>
              <w:spacing w:after="0" w:line="240" w:lineRule="auto"/>
              <w:ind w:firstLine="709"/>
              <w:jc w:val="both"/>
              <w:rPr>
                <w:rFonts w:ascii="Times New Roman" w:hAnsi="Times New Roman" w:cs="Times New Roman"/>
                <w:sz w:val="26"/>
                <w:szCs w:val="26"/>
                <w:lang w:val="en-US"/>
              </w:rPr>
            </w:pPr>
            <w:r w:rsidRPr="00E4269C">
              <w:rPr>
                <w:rFonts w:ascii="Times New Roman" w:hAnsi="Times New Roman" w:cs="Times New Roman"/>
                <w:sz w:val="26"/>
                <w:szCs w:val="26"/>
                <w:lang w:val="en-US"/>
              </w:rPr>
              <w:t>The purpose of teaching the academic discipline is to form a holistic understanding of folk art and Belarusian music, and, along with other disciplines of the musical-theoretical cycle, gives students the necessary knowledge and skills to become a competent, highly educated teacher who can freely understand folk music, use the accumulated knowledge in the pedagogical process of educational institutions.</w:t>
            </w:r>
          </w:p>
          <w:p w14:paraId="443FD6A4" w14:textId="77777777" w:rsidR="00E4269C" w:rsidRPr="00E4269C" w:rsidRDefault="00E4269C" w:rsidP="00E4269C">
            <w:pPr>
              <w:autoSpaceDE w:val="0"/>
              <w:autoSpaceDN w:val="0"/>
              <w:adjustRightInd w:val="0"/>
              <w:spacing w:after="0" w:line="240" w:lineRule="auto"/>
              <w:ind w:firstLine="709"/>
              <w:jc w:val="both"/>
              <w:rPr>
                <w:rFonts w:ascii="Times New Roman" w:hAnsi="Times New Roman" w:cs="Times New Roman"/>
                <w:sz w:val="26"/>
                <w:szCs w:val="26"/>
                <w:lang w:val="en-US"/>
              </w:rPr>
            </w:pPr>
            <w:r w:rsidRPr="00E4269C">
              <w:rPr>
                <w:rFonts w:ascii="Times New Roman" w:hAnsi="Times New Roman" w:cs="Times New Roman"/>
                <w:sz w:val="26"/>
                <w:szCs w:val="26"/>
                <w:lang w:val="en-US"/>
              </w:rPr>
              <w:t>The academic discipline "Ethnomusicology" is a discipline of the educational institution component of the curriculum for the specialty 7-06-0113-06 Artistic and aesthetic education. Profiling: Musical art and refers to optional disciplines.</w:t>
            </w:r>
          </w:p>
          <w:p w14:paraId="29116447" w14:textId="601A2785" w:rsidR="00E4269C" w:rsidRDefault="00E4269C" w:rsidP="00E4269C">
            <w:pPr>
              <w:autoSpaceDE w:val="0"/>
              <w:autoSpaceDN w:val="0"/>
              <w:adjustRightInd w:val="0"/>
              <w:spacing w:after="0" w:line="240" w:lineRule="auto"/>
              <w:ind w:firstLine="709"/>
              <w:jc w:val="both"/>
              <w:rPr>
                <w:rFonts w:ascii="Times New Roman" w:eastAsia="Times New Roman" w:hAnsi="Times New Roman" w:cs="Times New Roman"/>
                <w:sz w:val="26"/>
                <w:szCs w:val="26"/>
                <w:lang w:val="en-US"/>
              </w:rPr>
            </w:pPr>
            <w:r w:rsidRPr="00E4269C">
              <w:rPr>
                <w:rFonts w:ascii="Times New Roman" w:hAnsi="Times New Roman" w:cs="Times New Roman"/>
                <w:sz w:val="26"/>
                <w:szCs w:val="26"/>
                <w:lang w:val="en-US"/>
              </w:rPr>
              <w:t>The knowledge and skills that are developed in students receiving advanced higher education in the course of studying this discipline find practical application in the process of studying such academic disciplines as "Philosophy of Education", "Philosophy of Music", "</w:t>
            </w:r>
            <w:proofErr w:type="spellStart"/>
            <w:r w:rsidRPr="00E4269C">
              <w:rPr>
                <w:rFonts w:ascii="Times New Roman" w:hAnsi="Times New Roman" w:cs="Times New Roman"/>
                <w:sz w:val="26"/>
                <w:szCs w:val="26"/>
                <w:lang w:val="en-US"/>
              </w:rPr>
              <w:t>Polyartistic</w:t>
            </w:r>
            <w:proofErr w:type="spellEnd"/>
            <w:r w:rsidRPr="00E4269C">
              <w:rPr>
                <w:rFonts w:ascii="Times New Roman" w:hAnsi="Times New Roman" w:cs="Times New Roman"/>
                <w:sz w:val="26"/>
                <w:szCs w:val="26"/>
                <w:lang w:val="en-US"/>
              </w:rPr>
              <w:t xml:space="preserve"> Educational Practice", "</w:t>
            </w:r>
            <w:proofErr w:type="spellStart"/>
            <w:r w:rsidRPr="00E4269C">
              <w:rPr>
                <w:rFonts w:ascii="Times New Roman" w:hAnsi="Times New Roman" w:cs="Times New Roman"/>
                <w:sz w:val="26"/>
                <w:szCs w:val="26"/>
                <w:lang w:val="en-US"/>
              </w:rPr>
              <w:t>Polycultural</w:t>
            </w:r>
            <w:proofErr w:type="spellEnd"/>
            <w:r w:rsidRPr="00E4269C">
              <w:rPr>
                <w:rFonts w:ascii="Times New Roman" w:hAnsi="Times New Roman" w:cs="Times New Roman"/>
                <w:sz w:val="26"/>
                <w:szCs w:val="26"/>
                <w:lang w:val="en-US"/>
              </w:rPr>
              <w:t xml:space="preserve"> Educational Practice", "Modern Systems of Music Education", "Cultural Approach in Music Education".</w:t>
            </w:r>
          </w:p>
        </w:tc>
      </w:tr>
    </w:tbl>
    <w:p w14:paraId="1D1C4F0A" w14:textId="77777777" w:rsidR="00E4269C" w:rsidRDefault="00E4269C" w:rsidP="00E4269C">
      <w:pPr>
        <w:spacing w:after="0" w:line="240" w:lineRule="auto"/>
        <w:rPr>
          <w:rFonts w:ascii="Times New Roman" w:eastAsia="Times New Roman" w:hAnsi="Times New Roman" w:cs="Times New Roman"/>
          <w:b/>
          <w:sz w:val="26"/>
          <w:szCs w:val="26"/>
          <w:lang w:val="en-US"/>
        </w:rPr>
      </w:pPr>
    </w:p>
    <w:p w14:paraId="1DBE4A61" w14:textId="77777777" w:rsidR="000A2136" w:rsidRPr="00E4269C" w:rsidRDefault="000A2136" w:rsidP="00E4269C">
      <w:pPr>
        <w:spacing w:after="0" w:line="240" w:lineRule="auto"/>
        <w:rPr>
          <w:rFonts w:ascii="Times New Roman" w:hAnsi="Times New Roman" w:cs="Times New Roman"/>
          <w:b/>
          <w:color w:val="000000" w:themeColor="text1"/>
          <w:lang w:val="en-US"/>
        </w:rPr>
      </w:pPr>
    </w:p>
    <w:sectPr w:rsidR="000A2136" w:rsidRPr="00E42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36"/>
    <w:rsid w:val="00093881"/>
    <w:rsid w:val="000A2136"/>
    <w:rsid w:val="001F71E4"/>
    <w:rsid w:val="00E42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0A2136"/>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0A2136"/>
    <w:rPr>
      <w:rFonts w:ascii="Times New Roman" w:eastAsia="Times New Roman" w:hAnsi="Times New Roman" w:cs="Times New Roman"/>
      <w:sz w:val="28"/>
      <w:szCs w:val="20"/>
      <w:lang w:eastAsia="ru-RU"/>
    </w:rPr>
  </w:style>
  <w:style w:type="character" w:styleId="a6">
    <w:name w:val="Strong"/>
    <w:basedOn w:val="a0"/>
    <w:uiPriority w:val="22"/>
    <w:qFormat/>
    <w:rsid w:val="00E42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0A2136"/>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0A2136"/>
    <w:rPr>
      <w:rFonts w:ascii="Times New Roman" w:eastAsia="Times New Roman" w:hAnsi="Times New Roman" w:cs="Times New Roman"/>
      <w:sz w:val="28"/>
      <w:szCs w:val="20"/>
      <w:lang w:eastAsia="ru-RU"/>
    </w:rPr>
  </w:style>
  <w:style w:type="character" w:styleId="a6">
    <w:name w:val="Strong"/>
    <w:basedOn w:val="a0"/>
    <w:uiPriority w:val="22"/>
    <w:qFormat/>
    <w:rsid w:val="00E42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6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2025-05-27T18:02:00Z</dcterms:created>
  <dcterms:modified xsi:type="dcterms:W3CDTF">2025-05-27T18:02:00Z</dcterms:modified>
</cp:coreProperties>
</file>